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right="28"/>
        <w:jc w:val="left"/>
        <w:rPr>
          <w:rFonts w:ascii="黑体" w:hAnsi="黑体" w:eastAsia="黑体"/>
          <w:kern w:val="0"/>
          <w:sz w:val="32"/>
          <w:szCs w:val="32"/>
        </w:rPr>
      </w:pPr>
      <w:r>
        <w:rPr>
          <w:rFonts w:ascii="黑体" w:hAnsi="黑体" w:eastAsia="黑体"/>
          <w:kern w:val="0"/>
          <w:sz w:val="32"/>
          <w:szCs w:val="32"/>
        </w:rPr>
        <w:t>附</w:t>
      </w:r>
      <w:r>
        <w:rPr>
          <w:rFonts w:hint="eastAsia" w:ascii="黑体" w:hAnsi="黑体" w:eastAsia="黑体"/>
          <w:kern w:val="0"/>
          <w:sz w:val="32"/>
          <w:szCs w:val="32"/>
        </w:rPr>
        <w:t>8-1</w:t>
      </w:r>
    </w:p>
    <w:p>
      <w:pPr>
        <w:spacing w:line="480" w:lineRule="auto"/>
        <w:ind w:right="28"/>
        <w:jc w:val="center"/>
        <w:rPr>
          <w:rFonts w:ascii="方正小标宋简体" w:hAnsi="方正小标宋_GBK" w:eastAsia="方正小标宋简体"/>
          <w:kern w:val="0"/>
          <w:sz w:val="44"/>
          <w:szCs w:val="44"/>
        </w:rPr>
      </w:pPr>
    </w:p>
    <w:p>
      <w:pPr>
        <w:pStyle w:val="2"/>
        <w:ind w:firstLine="210"/>
      </w:pPr>
    </w:p>
    <w:p>
      <w:pPr>
        <w:spacing w:line="480" w:lineRule="auto"/>
        <w:ind w:right="28"/>
        <w:jc w:val="center"/>
        <w:rPr>
          <w:rFonts w:ascii="方正小标宋简体" w:hAnsi="方正小标宋_GBK" w:eastAsia="方正小标宋简体"/>
          <w:kern w:val="0"/>
          <w:sz w:val="44"/>
          <w:szCs w:val="44"/>
        </w:rPr>
      </w:pPr>
      <w:r>
        <w:rPr>
          <w:rFonts w:hint="eastAsia" w:ascii="方正小标宋简体" w:hAnsi="方正小标宋_GBK" w:eastAsia="方正小标宋简体"/>
          <w:kern w:val="0"/>
          <w:sz w:val="44"/>
          <w:szCs w:val="44"/>
        </w:rPr>
        <w:t>广东省课程思政示范课程</w:t>
      </w:r>
    </w:p>
    <w:p>
      <w:pPr>
        <w:spacing w:line="480" w:lineRule="auto"/>
        <w:ind w:right="28"/>
        <w:jc w:val="center"/>
        <w:rPr>
          <w:rFonts w:ascii="方正小标宋简体" w:hAnsi="方正小标宋_GBK" w:eastAsia="方正小标宋简体"/>
          <w:sz w:val="44"/>
          <w:szCs w:val="44"/>
        </w:rPr>
      </w:pPr>
      <w:r>
        <w:rPr>
          <w:rFonts w:hint="eastAsia" w:ascii="方正小标宋简体" w:hAnsi="方正小标宋_GBK" w:eastAsia="方正小标宋简体"/>
          <w:kern w:val="0"/>
          <w:sz w:val="44"/>
          <w:szCs w:val="44"/>
        </w:rPr>
        <w:t>申报书</w:t>
      </w:r>
    </w:p>
    <w:p>
      <w:pPr>
        <w:spacing w:line="520" w:lineRule="exact"/>
        <w:ind w:right="26"/>
        <w:jc w:val="center"/>
        <w:rPr>
          <w:rFonts w:ascii="黑体" w:hAnsi="黑体" w:eastAsia="黑体"/>
          <w:sz w:val="36"/>
          <w:szCs w:val="36"/>
        </w:rPr>
      </w:pPr>
    </w:p>
    <w:p>
      <w:pPr>
        <w:spacing w:line="520" w:lineRule="exact"/>
        <w:ind w:right="26"/>
        <w:jc w:val="center"/>
        <w:rPr>
          <w:rFonts w:ascii="黑体" w:hAnsi="黑体" w:eastAsia="黑体"/>
          <w:sz w:val="36"/>
          <w:szCs w:val="36"/>
        </w:rPr>
      </w:pPr>
    </w:p>
    <w:p>
      <w:pPr>
        <w:spacing w:line="600" w:lineRule="exact"/>
        <w:ind w:right="28" w:firstLine="1280" w:firstLineChars="400"/>
        <w:rPr>
          <w:rFonts w:ascii="黑体" w:hAnsi="黑体" w:eastAsia="黑体"/>
          <w:sz w:val="32"/>
          <w:szCs w:val="36"/>
          <w:u w:val="single"/>
        </w:rPr>
      </w:pPr>
      <w:r>
        <w:rPr>
          <w:rFonts w:hint="eastAsia" w:ascii="黑体" w:hAnsi="黑体" w:eastAsia="黑体"/>
          <w:sz w:val="32"/>
          <w:szCs w:val="36"/>
        </w:rPr>
        <w:t>申报学校：广东工程职业技术学院</w:t>
      </w:r>
    </w:p>
    <w:p>
      <w:pPr>
        <w:spacing w:line="600" w:lineRule="exact"/>
        <w:ind w:right="28" w:firstLine="1280" w:firstLineChars="400"/>
        <w:rPr>
          <w:rFonts w:ascii="黑体" w:hAnsi="黑体" w:eastAsia="黑体"/>
          <w:sz w:val="32"/>
          <w:szCs w:val="36"/>
        </w:rPr>
      </w:pPr>
      <w:r>
        <w:rPr>
          <w:rFonts w:hint="eastAsia" w:ascii="黑体" w:hAnsi="黑体" w:eastAsia="黑体"/>
          <w:sz w:val="32"/>
          <w:szCs w:val="36"/>
        </w:rPr>
        <w:t>课程名称：项目管理</w:t>
      </w:r>
    </w:p>
    <w:p>
      <w:pPr>
        <w:spacing w:line="600" w:lineRule="exact"/>
        <w:ind w:right="28" w:firstLine="1280" w:firstLineChars="400"/>
        <w:rPr>
          <w:rFonts w:ascii="黑体" w:hAnsi="黑体" w:eastAsia="黑体"/>
          <w:sz w:val="32"/>
          <w:szCs w:val="36"/>
          <w:u w:val="single"/>
        </w:rPr>
      </w:pPr>
      <w:r>
        <w:rPr>
          <w:rFonts w:hint="eastAsia" w:ascii="黑体" w:hAnsi="黑体" w:eastAsia="黑体"/>
          <w:sz w:val="32"/>
          <w:szCs w:val="36"/>
        </w:rPr>
        <w:t>授课教师</w:t>
      </w:r>
      <w:r>
        <w:rPr>
          <w:rStyle w:val="11"/>
          <w:rFonts w:hint="eastAsia" w:ascii="黑体" w:hAnsi="黑体" w:eastAsia="黑体"/>
          <w:sz w:val="32"/>
          <w:szCs w:val="36"/>
        </w:rPr>
        <w:footnoteReference w:id="0"/>
      </w:r>
      <w:r>
        <w:rPr>
          <w:rFonts w:hint="eastAsia" w:ascii="黑体" w:hAnsi="黑体" w:eastAsia="黑体"/>
          <w:sz w:val="32"/>
          <w:szCs w:val="36"/>
        </w:rPr>
        <w:t>：李震阳</w:t>
      </w:r>
    </w:p>
    <w:p>
      <w:pPr>
        <w:spacing w:line="600" w:lineRule="exact"/>
        <w:ind w:right="28" w:firstLine="1280" w:firstLineChars="400"/>
        <w:rPr>
          <w:rFonts w:ascii="黑体" w:hAnsi="黑体" w:eastAsia="黑体"/>
          <w:sz w:val="32"/>
          <w:szCs w:val="36"/>
        </w:rPr>
      </w:pPr>
      <w:r>
        <w:rPr>
          <w:rFonts w:hint="eastAsia" w:ascii="黑体" w:hAnsi="黑体" w:eastAsia="黑体"/>
          <w:sz w:val="32"/>
          <w:szCs w:val="36"/>
        </w:rPr>
        <w:t>联系电话：</w:t>
      </w:r>
    </w:p>
    <w:p>
      <w:pPr>
        <w:spacing w:line="600" w:lineRule="exact"/>
        <w:ind w:right="28" w:firstLine="1280" w:firstLineChars="400"/>
        <w:rPr>
          <w:rFonts w:ascii="黑体" w:hAnsi="黑体" w:eastAsia="黑体"/>
          <w:sz w:val="32"/>
          <w:szCs w:val="36"/>
        </w:rPr>
      </w:pPr>
      <w:r>
        <w:rPr>
          <w:rFonts w:hint="eastAsia" w:ascii="黑体" w:hAnsi="黑体" w:eastAsia="黑体"/>
          <w:sz w:val="32"/>
          <w:szCs w:val="36"/>
        </w:rPr>
        <w:t>电子邮箱：</w:t>
      </w:r>
      <w:bookmarkStart w:id="0" w:name="_GoBack"/>
      <w:bookmarkEnd w:id="0"/>
    </w:p>
    <w:p>
      <w:pPr>
        <w:spacing w:line="600" w:lineRule="exact"/>
        <w:ind w:right="28" w:firstLine="1280" w:firstLineChars="400"/>
        <w:rPr>
          <w:rFonts w:ascii="黑体" w:hAnsi="黑体" w:eastAsia="黑体"/>
          <w:sz w:val="32"/>
          <w:szCs w:val="36"/>
        </w:rPr>
      </w:pPr>
      <w:r>
        <w:rPr>
          <w:rFonts w:ascii="黑体" w:hAnsi="黑体" w:eastAsia="黑体"/>
          <w:sz w:val="32"/>
          <w:szCs w:val="36"/>
        </w:rPr>
        <w:t>填表日期：2023年</w:t>
      </w:r>
      <w:r>
        <w:rPr>
          <w:rFonts w:hint="eastAsia" w:ascii="黑体" w:hAnsi="黑体" w:eastAsia="黑体"/>
          <w:sz w:val="32"/>
          <w:szCs w:val="36"/>
        </w:rPr>
        <w:t>4</w:t>
      </w:r>
      <w:r>
        <w:rPr>
          <w:rFonts w:ascii="黑体" w:hAnsi="黑体" w:eastAsia="黑体"/>
          <w:sz w:val="32"/>
          <w:szCs w:val="36"/>
        </w:rPr>
        <w:t>月</w:t>
      </w:r>
      <w:r>
        <w:rPr>
          <w:rFonts w:hint="eastAsia" w:ascii="黑体" w:hAnsi="黑体" w:eastAsia="黑体"/>
          <w:sz w:val="32"/>
          <w:szCs w:val="36"/>
        </w:rPr>
        <w:t>28</w:t>
      </w:r>
      <w:r>
        <w:rPr>
          <w:rFonts w:ascii="黑体" w:hAnsi="黑体" w:eastAsia="黑体"/>
          <w:sz w:val="32"/>
          <w:szCs w:val="36"/>
        </w:rPr>
        <w:t>日</w:t>
      </w:r>
    </w:p>
    <w:p>
      <w:pPr>
        <w:spacing w:line="600" w:lineRule="exact"/>
        <w:ind w:right="28" w:firstLine="1280" w:firstLineChars="400"/>
        <w:rPr>
          <w:rFonts w:ascii="黑体" w:hAnsi="黑体" w:eastAsia="黑体"/>
          <w:sz w:val="32"/>
          <w:szCs w:val="36"/>
          <w:u w:val="single"/>
        </w:rPr>
      </w:pPr>
      <w:r>
        <w:rPr>
          <w:rFonts w:hint="eastAsia" w:ascii="黑体" w:hAnsi="黑体" w:eastAsia="黑体"/>
          <w:sz w:val="32"/>
          <w:szCs w:val="36"/>
        </w:rPr>
        <w:t xml:space="preserve"> </w:t>
      </w:r>
    </w:p>
    <w:p>
      <w:pPr>
        <w:snapToGrid w:val="0"/>
        <w:spacing w:line="240" w:lineRule="atLeast"/>
        <w:ind w:firstLine="539"/>
        <w:jc w:val="center"/>
        <w:rPr>
          <w:rFonts w:ascii="黑体" w:hAnsi="黑体" w:eastAsia="黑体"/>
          <w:sz w:val="28"/>
        </w:rPr>
      </w:pPr>
    </w:p>
    <w:p>
      <w:pPr>
        <w:snapToGrid w:val="0"/>
        <w:spacing w:line="240" w:lineRule="atLeast"/>
        <w:ind w:firstLine="539"/>
        <w:jc w:val="center"/>
        <w:rPr>
          <w:rFonts w:ascii="黑体" w:hAnsi="黑体" w:eastAsia="黑体"/>
          <w:sz w:val="28"/>
        </w:rPr>
      </w:pPr>
    </w:p>
    <w:p>
      <w:pPr>
        <w:pStyle w:val="2"/>
        <w:ind w:firstLine="280"/>
        <w:rPr>
          <w:rFonts w:ascii="黑体" w:hAnsi="黑体" w:eastAsia="黑体"/>
          <w:sz w:val="28"/>
        </w:rPr>
      </w:pPr>
    </w:p>
    <w:p>
      <w:pPr>
        <w:pStyle w:val="2"/>
        <w:ind w:firstLine="280"/>
        <w:rPr>
          <w:rFonts w:ascii="黑体" w:hAnsi="黑体" w:eastAsia="黑体"/>
          <w:sz w:val="28"/>
        </w:rPr>
      </w:pPr>
    </w:p>
    <w:p>
      <w:pPr>
        <w:snapToGrid w:val="0"/>
        <w:spacing w:line="240" w:lineRule="atLeast"/>
        <w:ind w:firstLine="539"/>
        <w:jc w:val="center"/>
        <w:rPr>
          <w:rFonts w:ascii="黑体" w:hAnsi="黑体" w:eastAsia="黑体"/>
          <w:sz w:val="28"/>
        </w:rPr>
      </w:pPr>
    </w:p>
    <w:p>
      <w:pPr>
        <w:snapToGrid w:val="0"/>
        <w:spacing w:line="240" w:lineRule="atLeast"/>
        <w:jc w:val="center"/>
        <w:rPr>
          <w:rFonts w:ascii="Times New Roman" w:hAnsi="Times New Roman" w:eastAsia="黑体"/>
          <w:sz w:val="32"/>
          <w:szCs w:val="32"/>
        </w:rPr>
      </w:pPr>
      <w:r>
        <w:rPr>
          <w:rFonts w:hint="eastAsia" w:eastAsia="黑体"/>
          <w:sz w:val="32"/>
          <w:szCs w:val="32"/>
        </w:rPr>
        <w:t>广东</w:t>
      </w:r>
      <w:r>
        <w:rPr>
          <w:rFonts w:ascii="Times New Roman" w:hAnsi="Times New Roman" w:eastAsia="黑体"/>
          <w:sz w:val="32"/>
          <w:szCs w:val="32"/>
        </w:rPr>
        <w:t>省教育厅</w:t>
      </w:r>
    </w:p>
    <w:p>
      <w:pPr>
        <w:pStyle w:val="2"/>
        <w:ind w:firstLine="210"/>
      </w:pPr>
    </w:p>
    <w:p>
      <w:pPr>
        <w:snapToGrid w:val="0"/>
        <w:spacing w:line="240" w:lineRule="atLeast"/>
        <w:jc w:val="center"/>
        <w:rPr>
          <w:rFonts w:ascii="黑体" w:hAnsi="黑体" w:eastAsia="黑体"/>
          <w:sz w:val="32"/>
          <w:szCs w:val="32"/>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sz w:val="32"/>
          <w:szCs w:val="32"/>
        </w:rPr>
        <w:t>2023年</w:t>
      </w:r>
    </w:p>
    <w:p>
      <w:pPr>
        <w:rPr>
          <w:rFonts w:ascii="黑体" w:hAnsi="黑体" w:eastAsia="黑体"/>
          <w:sz w:val="24"/>
          <w:szCs w:val="24"/>
        </w:rPr>
      </w:pPr>
      <w:r>
        <w:rPr>
          <w:rFonts w:hint="eastAsia" w:ascii="黑体" w:hAnsi="黑体" w:eastAsia="黑体"/>
          <w:sz w:val="24"/>
          <w:szCs w:val="24"/>
        </w:rPr>
        <w:t>一、课程基本信息</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7"/>
        <w:gridCol w:w="5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617" w:type="dxa"/>
            <w:vAlign w:val="center"/>
          </w:tcPr>
          <w:p>
            <w:pPr>
              <w:spacing w:line="340" w:lineRule="exact"/>
              <w:jc w:val="center"/>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课程名称</w:t>
            </w:r>
          </w:p>
        </w:tc>
        <w:tc>
          <w:tcPr>
            <w:tcW w:w="5905" w:type="dxa"/>
          </w:tcPr>
          <w:p>
            <w:pPr>
              <w:spacing w:line="340" w:lineRule="exact"/>
              <w:jc w:val="center"/>
              <w:rPr>
                <w:rFonts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项目管理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617" w:type="dxa"/>
            <w:vAlign w:val="center"/>
          </w:tcPr>
          <w:p>
            <w:pPr>
              <w:spacing w:line="340" w:lineRule="exact"/>
              <w:jc w:val="center"/>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课程属性</w:t>
            </w:r>
          </w:p>
        </w:tc>
        <w:tc>
          <w:tcPr>
            <w:tcW w:w="5905" w:type="dxa"/>
          </w:tcPr>
          <w:p>
            <w:pPr>
              <w:spacing w:line="340" w:lineRule="exact"/>
              <w:rPr>
                <w:rFonts w:ascii="仿宋_GB2312" w:hAnsi="仿宋_GB2312" w:eastAsia="仿宋_GB2312" w:cs="仿宋_GB2312"/>
                <w:kern w:val="0"/>
                <w:sz w:val="24"/>
                <w:szCs w:val="24"/>
              </w:rPr>
            </w:pPr>
            <w:r>
              <w:rPr>
                <w:rFonts w:hint="eastAsia" w:ascii="仿宋_GB2312" w:hAnsi="宋体" w:eastAsia="仿宋_GB2312"/>
                <w:kern w:val="0"/>
                <w:sz w:val="24"/>
                <w:szCs w:val="24"/>
              </w:rPr>
              <w:t>□</w:t>
            </w:r>
            <w:r>
              <w:rPr>
                <w:rFonts w:hint="eastAsia" w:ascii="仿宋_GB2312" w:hAnsi="仿宋_GB2312" w:eastAsia="仿宋_GB2312" w:cs="仿宋_GB2312"/>
                <w:kern w:val="0"/>
                <w:sz w:val="24"/>
                <w:szCs w:val="24"/>
              </w:rPr>
              <w:t xml:space="preserve">公共课  </w:t>
            </w:r>
            <w:r>
              <w:rPr>
                <w:rFonts w:hint="eastAsia" w:ascii="仿宋_GB2312" w:hAnsi="宋体" w:eastAsia="仿宋_GB2312"/>
                <w:kern w:val="0"/>
                <w:sz w:val="24"/>
                <w:szCs w:val="24"/>
              </w:rPr>
              <w:sym w:font="Wingdings 2" w:char="0052"/>
            </w:r>
            <w:r>
              <w:rPr>
                <w:rFonts w:hint="eastAsia" w:ascii="仿宋_GB2312" w:hAnsi="仿宋_GB2312" w:eastAsia="仿宋_GB2312" w:cs="仿宋_GB2312"/>
                <w:kern w:val="0"/>
                <w:sz w:val="24"/>
                <w:szCs w:val="24"/>
              </w:rPr>
              <w:t xml:space="preserve">专业基础课 </w:t>
            </w:r>
            <w:r>
              <w:rPr>
                <w:rFonts w:hint="eastAsia" w:ascii="仿宋_GB2312" w:hAnsi="宋体" w:eastAsia="仿宋_GB2312"/>
                <w:kern w:val="0"/>
                <w:sz w:val="24"/>
                <w:szCs w:val="24"/>
              </w:rPr>
              <w:t>□</w:t>
            </w:r>
            <w:r>
              <w:rPr>
                <w:rFonts w:hint="eastAsia" w:ascii="仿宋_GB2312" w:hAnsi="仿宋_GB2312" w:eastAsia="仿宋_GB2312" w:cs="仿宋_GB2312"/>
                <w:kern w:val="0"/>
                <w:sz w:val="24"/>
                <w:szCs w:val="24"/>
              </w:rPr>
              <w:t>专业课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617" w:type="dxa"/>
            <w:vAlign w:val="center"/>
          </w:tcPr>
          <w:p>
            <w:pPr>
              <w:spacing w:line="340" w:lineRule="exact"/>
              <w:jc w:val="center"/>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课程类型</w:t>
            </w:r>
          </w:p>
        </w:tc>
        <w:tc>
          <w:tcPr>
            <w:tcW w:w="5905" w:type="dxa"/>
          </w:tcPr>
          <w:p>
            <w:pPr>
              <w:spacing w:line="340" w:lineRule="exact"/>
              <w:rPr>
                <w:rFonts w:ascii="仿宋_GB2312" w:hAnsi="仿宋_GB2312" w:eastAsia="仿宋_GB2312" w:cs="仿宋_GB2312"/>
                <w:kern w:val="0"/>
                <w:sz w:val="24"/>
                <w:szCs w:val="24"/>
              </w:rPr>
            </w:pPr>
            <w:r>
              <w:rPr>
                <w:rFonts w:hint="eastAsia" w:ascii="仿宋_GB2312" w:hAnsi="宋体" w:eastAsia="仿宋_GB2312"/>
                <w:kern w:val="0"/>
                <w:sz w:val="24"/>
                <w:szCs w:val="24"/>
              </w:rPr>
              <w:t>□</w:t>
            </w:r>
            <w:r>
              <w:rPr>
                <w:rFonts w:hint="eastAsia" w:ascii="仿宋_GB2312" w:hAnsi="仿宋_GB2312" w:eastAsia="仿宋_GB2312" w:cs="仿宋_GB2312"/>
                <w:kern w:val="0"/>
                <w:sz w:val="24"/>
                <w:szCs w:val="24"/>
              </w:rPr>
              <w:t xml:space="preserve">纯理论课 </w:t>
            </w:r>
            <w:r>
              <w:rPr>
                <w:rFonts w:hint="eastAsia" w:ascii="仿宋_GB2312" w:hAnsi="宋体" w:eastAsia="仿宋_GB2312"/>
                <w:kern w:val="0"/>
                <w:sz w:val="24"/>
                <w:szCs w:val="24"/>
              </w:rPr>
              <w:sym w:font="Wingdings 2" w:char="0052"/>
            </w:r>
            <w:r>
              <w:rPr>
                <w:rFonts w:hint="eastAsia" w:ascii="仿宋_GB2312" w:hAnsi="仿宋_GB2312" w:eastAsia="仿宋_GB2312" w:cs="仿宋_GB2312"/>
                <w:kern w:val="0"/>
                <w:sz w:val="24"/>
                <w:szCs w:val="24"/>
              </w:rPr>
              <w:t xml:space="preserve">理论+实践课 </w:t>
            </w:r>
            <w:r>
              <w:rPr>
                <w:rFonts w:hint="eastAsia" w:ascii="仿宋_GB2312" w:hAnsi="宋体" w:eastAsia="仿宋_GB2312"/>
                <w:kern w:val="0"/>
                <w:sz w:val="24"/>
                <w:szCs w:val="24"/>
              </w:rPr>
              <w:t>□</w:t>
            </w:r>
            <w:r>
              <w:rPr>
                <w:rFonts w:hint="eastAsia" w:ascii="仿宋_GB2312" w:hAnsi="仿宋_GB2312" w:eastAsia="仿宋_GB2312" w:cs="仿宋_GB2312"/>
                <w:kern w:val="0"/>
                <w:sz w:val="24"/>
                <w:szCs w:val="24"/>
              </w:rPr>
              <w:t>实践课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617" w:type="dxa"/>
            <w:vAlign w:val="center"/>
          </w:tcPr>
          <w:p>
            <w:pPr>
              <w:spacing w:line="340" w:lineRule="exact"/>
              <w:jc w:val="center"/>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所属专业名称和代码</w:t>
            </w:r>
            <w:r>
              <w:rPr>
                <w:rStyle w:val="11"/>
                <w:rFonts w:hint="eastAsia" w:ascii="仿宋_GB2312" w:hAnsi="仿宋_GB2312" w:eastAsia="仿宋_GB2312" w:cs="仿宋_GB2312"/>
                <w:b/>
                <w:bCs/>
                <w:kern w:val="0"/>
                <w:sz w:val="24"/>
                <w:szCs w:val="24"/>
              </w:rPr>
              <w:footnoteReference w:id="1"/>
            </w:r>
          </w:p>
        </w:tc>
        <w:tc>
          <w:tcPr>
            <w:tcW w:w="5905" w:type="dxa"/>
            <w:vAlign w:val="center"/>
          </w:tcPr>
          <w:p>
            <w:pPr>
              <w:spacing w:line="340" w:lineRule="exact"/>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软件技术 510203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617" w:type="dxa"/>
            <w:vAlign w:val="center"/>
          </w:tcPr>
          <w:p>
            <w:pPr>
              <w:spacing w:line="340" w:lineRule="exact"/>
              <w:jc w:val="center"/>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开课年级</w:t>
            </w:r>
          </w:p>
        </w:tc>
        <w:tc>
          <w:tcPr>
            <w:tcW w:w="5905" w:type="dxa"/>
            <w:vAlign w:val="center"/>
          </w:tcPr>
          <w:p>
            <w:pPr>
              <w:spacing w:line="340" w:lineRule="exact"/>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高职二年级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617" w:type="dxa"/>
            <w:vAlign w:val="center"/>
          </w:tcPr>
          <w:p>
            <w:pPr>
              <w:spacing w:line="340" w:lineRule="exact"/>
              <w:jc w:val="center"/>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学时</w:t>
            </w:r>
          </w:p>
        </w:tc>
        <w:tc>
          <w:tcPr>
            <w:tcW w:w="5905" w:type="dxa"/>
            <w:vAlign w:val="center"/>
          </w:tcPr>
          <w:p>
            <w:pPr>
              <w:spacing w:line="340" w:lineRule="exact"/>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617" w:type="dxa"/>
            <w:vAlign w:val="center"/>
          </w:tcPr>
          <w:p>
            <w:pPr>
              <w:spacing w:line="340" w:lineRule="exact"/>
              <w:jc w:val="center"/>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学分</w:t>
            </w:r>
          </w:p>
        </w:tc>
        <w:tc>
          <w:tcPr>
            <w:tcW w:w="5905" w:type="dxa"/>
            <w:vAlign w:val="center"/>
          </w:tcPr>
          <w:p>
            <w:pPr>
              <w:spacing w:line="340" w:lineRule="exact"/>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617" w:type="dxa"/>
            <w:vMerge w:val="restart"/>
            <w:vAlign w:val="center"/>
          </w:tcPr>
          <w:p>
            <w:pPr>
              <w:spacing w:line="340" w:lineRule="exact"/>
              <w:jc w:val="center"/>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最近两期开课时间</w:t>
            </w:r>
          </w:p>
        </w:tc>
        <w:tc>
          <w:tcPr>
            <w:tcW w:w="5905" w:type="dxa"/>
            <w:vAlign w:val="center"/>
          </w:tcPr>
          <w:p>
            <w:pPr>
              <w:pStyle w:val="2"/>
              <w:spacing w:before="156" w:beforeLines="50"/>
              <w:ind w:firstLine="210"/>
            </w:pPr>
            <w:r>
              <w:rPr>
                <w:rFonts w:hint="eastAsia"/>
              </w:rPr>
              <w:t xml:space="preserve">  2022年 2月 25日— 2022 年 7 月 5 日</w:t>
            </w:r>
          </w:p>
          <w:p>
            <w:pPr>
              <w:pStyle w:val="2"/>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drawing>
                <wp:inline distT="0" distB="0" distL="0" distR="0">
                  <wp:extent cx="3505200" cy="2159000"/>
                  <wp:effectExtent l="0" t="0" r="0" b="0"/>
                  <wp:docPr id="10" name="图片 1" descr="《项目管理》开课2021-2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项目管理》开课2021-2022-2"/>
                          <pic:cNvPicPr>
                            <a:picLocks noChangeAspect="1" noChangeArrowheads="1"/>
                          </pic:cNvPicPr>
                        </pic:nvPicPr>
                        <pic:blipFill>
                          <a:blip r:embed="rId6" cstate="print">
                            <a:extLst>
                              <a:ext uri="{28A0092B-C50C-407E-A947-70E740481C1C}">
                                <a14:useLocalDpi xmlns:a14="http://schemas.microsoft.com/office/drawing/2010/main" val="0"/>
                              </a:ext>
                            </a:extLst>
                          </a:blip>
                          <a:srcRect r="52048" b="45052"/>
                          <a:stretch>
                            <a:fillRect/>
                          </a:stretch>
                        </pic:blipFill>
                        <pic:spPr>
                          <a:xfrm>
                            <a:off x="0" y="0"/>
                            <a:ext cx="3505200" cy="2159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1" w:hRule="atLeast"/>
        </w:trPr>
        <w:tc>
          <w:tcPr>
            <w:tcW w:w="2617" w:type="dxa"/>
            <w:vMerge w:val="continue"/>
            <w:vAlign w:val="center"/>
          </w:tcPr>
          <w:p>
            <w:pPr>
              <w:spacing w:line="340" w:lineRule="exact"/>
              <w:jc w:val="center"/>
              <w:rPr>
                <w:rFonts w:ascii="仿宋_GB2312" w:hAnsi="仿宋_GB2312" w:eastAsia="仿宋_GB2312" w:cs="仿宋_GB2312"/>
                <w:b/>
                <w:bCs/>
                <w:kern w:val="0"/>
                <w:sz w:val="24"/>
                <w:szCs w:val="24"/>
              </w:rPr>
            </w:pPr>
          </w:p>
        </w:tc>
        <w:tc>
          <w:tcPr>
            <w:tcW w:w="5905" w:type="dxa"/>
            <w:vAlign w:val="center"/>
          </w:tcPr>
          <w:p>
            <w:pPr>
              <w:spacing w:before="156" w:beforeLines="50" w:line="340" w:lineRule="exact"/>
              <w:jc w:val="center"/>
            </w:pPr>
            <w:r>
              <w:rPr>
                <w:rFonts w:hint="eastAsia"/>
              </w:rPr>
              <w:t xml:space="preserve"> 2023 年 2 月 20 日— 2023 年 6 月 23 日</w:t>
            </w:r>
          </w:p>
          <w:p>
            <w:pPr>
              <w:spacing w:line="340" w:lineRule="exact"/>
              <w:rPr>
                <w:rFonts w:ascii="仿宋_GB2312" w:hAnsi="仿宋_GB2312" w:eastAsia="仿宋_GB2312" w:cs="仿宋_GB2312"/>
                <w:kern w:val="0"/>
                <w:sz w:val="24"/>
                <w:szCs w:val="24"/>
              </w:rPr>
            </w:pPr>
            <w:r>
              <w:rPr>
                <w:rFonts w:hint="eastAsia"/>
              </w:rPr>
              <w:drawing>
                <wp:anchor distT="0" distB="0" distL="114935" distR="114935" simplePos="0" relativeHeight="251659264" behindDoc="0" locked="0" layoutInCell="1" allowOverlap="1">
                  <wp:simplePos x="0" y="0"/>
                  <wp:positionH relativeFrom="column">
                    <wp:posOffset>1905</wp:posOffset>
                  </wp:positionH>
                  <wp:positionV relativeFrom="paragraph">
                    <wp:posOffset>122555</wp:posOffset>
                  </wp:positionV>
                  <wp:extent cx="3608705" cy="1755775"/>
                  <wp:effectExtent l="0" t="0" r="0" b="0"/>
                  <wp:wrapTopAndBottom/>
                  <wp:docPr id="19" name="图片 2" descr="项目管理2302开课b--微信图片_2023040819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项目管理2302开课b--微信图片_202304081917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608705" cy="1755775"/>
                          </a:xfrm>
                          <a:prstGeom prst="rect">
                            <a:avLst/>
                          </a:prstGeom>
                          <a:noFill/>
                          <a:ln>
                            <a:noFill/>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617" w:type="dxa"/>
            <w:vAlign w:val="center"/>
          </w:tcPr>
          <w:p>
            <w:pPr>
              <w:spacing w:line="340" w:lineRule="exact"/>
              <w:jc w:val="center"/>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最近两期学生总人数（人）</w:t>
            </w:r>
          </w:p>
        </w:tc>
        <w:tc>
          <w:tcPr>
            <w:tcW w:w="5905" w:type="dxa"/>
            <w:vAlign w:val="center"/>
          </w:tcPr>
          <w:p>
            <w:pPr>
              <w:spacing w:line="340" w:lineRule="exact"/>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1051人 （本人授课580人）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617" w:type="dxa"/>
            <w:vAlign w:val="center"/>
          </w:tcPr>
          <w:p>
            <w:pPr>
              <w:spacing w:line="340" w:lineRule="exact"/>
              <w:jc w:val="center"/>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教学方式</w:t>
            </w:r>
          </w:p>
        </w:tc>
        <w:tc>
          <w:tcPr>
            <w:tcW w:w="5905" w:type="dxa"/>
            <w:vAlign w:val="center"/>
          </w:tcPr>
          <w:p>
            <w:pPr>
              <w:spacing w:line="340" w:lineRule="exact"/>
              <w:jc w:val="center"/>
              <w:rPr>
                <w:rFonts w:ascii="仿宋_GB2312" w:hAnsi="仿宋_GB2312" w:eastAsia="仿宋_GB2312" w:cs="仿宋_GB2312"/>
                <w:kern w:val="0"/>
                <w:sz w:val="24"/>
                <w:szCs w:val="24"/>
              </w:rPr>
            </w:pPr>
            <w:r>
              <w:rPr>
                <w:rFonts w:hint="eastAsia" w:ascii="仿宋_GB2312" w:hAnsi="宋体" w:eastAsia="仿宋_GB2312"/>
                <w:kern w:val="0"/>
                <w:sz w:val="24"/>
                <w:szCs w:val="24"/>
              </w:rPr>
              <w:sym w:font="Wingdings 2" w:char="00A3"/>
            </w:r>
            <w:r>
              <w:rPr>
                <w:rFonts w:hint="eastAsia" w:ascii="仿宋_GB2312" w:hAnsi="仿宋_GB2312" w:eastAsia="仿宋_GB2312" w:cs="仿宋_GB2312"/>
                <w:kern w:val="0"/>
                <w:sz w:val="24"/>
                <w:szCs w:val="24"/>
              </w:rPr>
              <w:t xml:space="preserve">线下   </w:t>
            </w:r>
            <w:r>
              <w:rPr>
                <w:rFonts w:hint="eastAsia" w:ascii="仿宋_GB2312" w:hAnsi="宋体" w:eastAsia="仿宋_GB2312"/>
                <w:kern w:val="0"/>
                <w:sz w:val="24"/>
                <w:szCs w:val="24"/>
              </w:rPr>
              <w:t>□</w:t>
            </w:r>
            <w:r>
              <w:rPr>
                <w:rFonts w:hint="eastAsia" w:ascii="仿宋_GB2312" w:hAnsi="仿宋_GB2312" w:eastAsia="仿宋_GB2312" w:cs="仿宋_GB2312"/>
                <w:kern w:val="0"/>
                <w:sz w:val="24"/>
                <w:szCs w:val="24"/>
              </w:rPr>
              <w:t xml:space="preserve">线上   </w:t>
            </w:r>
            <w:r>
              <w:rPr>
                <w:rFonts w:hint="eastAsia" w:ascii="仿宋_GB2312" w:hAnsi="宋体" w:eastAsia="仿宋_GB2312"/>
                <w:kern w:val="0"/>
                <w:sz w:val="24"/>
                <w:szCs w:val="24"/>
              </w:rPr>
              <w:sym w:font="Wingdings 2" w:char="0052"/>
            </w:r>
            <w:r>
              <w:rPr>
                <w:rFonts w:hint="eastAsia" w:ascii="仿宋_GB2312" w:hAnsi="仿宋_GB2312" w:eastAsia="仿宋_GB2312" w:cs="仿宋_GB2312"/>
                <w:kern w:val="0"/>
                <w:sz w:val="24"/>
                <w:szCs w:val="24"/>
              </w:rPr>
              <w:t>线上线下混合式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617" w:type="dxa"/>
            <w:vAlign w:val="center"/>
          </w:tcPr>
          <w:p>
            <w:pPr>
              <w:spacing w:line="340" w:lineRule="exact"/>
              <w:jc w:val="center"/>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线上课程地址及账号</w:t>
            </w:r>
          </w:p>
        </w:tc>
        <w:tc>
          <w:tcPr>
            <w:tcW w:w="5905" w:type="dxa"/>
          </w:tcPr>
          <w:p>
            <w:pPr>
              <w:spacing w:line="340" w:lineRule="exac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https://www.xueyinonline.com/detail/232756168</w:t>
            </w:r>
          </w:p>
          <w:p>
            <w:pPr>
              <w:spacing w:line="340" w:lineRule="exac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可用账号：18922217283  密码：xiangmu08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5" w:hRule="atLeast"/>
        </w:trPr>
        <w:tc>
          <w:tcPr>
            <w:tcW w:w="2617" w:type="dxa"/>
            <w:vAlign w:val="center"/>
          </w:tcPr>
          <w:p>
            <w:pPr>
              <w:spacing w:line="340" w:lineRule="exact"/>
              <w:jc w:val="center"/>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课程简介</w:t>
            </w:r>
          </w:p>
        </w:tc>
        <w:tc>
          <w:tcPr>
            <w:tcW w:w="5905" w:type="dxa"/>
          </w:tcPr>
          <w:p>
            <w:pPr>
              <w:widowControl/>
              <w:snapToGrid w:val="0"/>
              <w:spacing w:before="156" w:beforeLines="50"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《项目管理》课程是广东工程职业技术学院软件技术</w:t>
            </w:r>
            <w:r>
              <w:rPr>
                <w:rFonts w:hint="eastAsia" w:ascii="仿宋_GB2312" w:hAnsi="仿宋_GB2312" w:eastAsia="仿宋_GB2312" w:cs="仿宋_GB2312"/>
                <w:b/>
                <w:bCs/>
                <w:kern w:val="0"/>
                <w:sz w:val="24"/>
                <w:szCs w:val="24"/>
              </w:rPr>
              <w:t>省级高水平专业群平台课</w:t>
            </w:r>
            <w:r>
              <w:rPr>
                <w:rFonts w:hint="eastAsia" w:ascii="仿宋_GB2312" w:hAnsi="仿宋_GB2312" w:eastAsia="仿宋_GB2312" w:cs="仿宋_GB2312"/>
                <w:kern w:val="0"/>
                <w:sz w:val="24"/>
                <w:szCs w:val="24"/>
              </w:rPr>
              <w:t>。</w:t>
            </w:r>
          </w:p>
          <w:p>
            <w:pPr>
              <w:widowControl/>
              <w:snapToGrid w:val="0"/>
              <w:spacing w:line="340" w:lineRule="exact"/>
              <w:ind w:firstLine="482"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（1）基于岗位需求，明确职业定位</w:t>
            </w:r>
            <w:r>
              <w:rPr>
                <w:rFonts w:hint="eastAsia" w:ascii="仿宋_GB2312" w:hAnsi="仿宋_GB2312" w:eastAsia="仿宋_GB2312" w:cs="仿宋_GB2312"/>
                <w:kern w:val="0"/>
                <w:sz w:val="24"/>
                <w:szCs w:val="24"/>
              </w:rPr>
              <w:t>：面向软件、网络、通信、数字媒体、计算机应用技术等专业学生，聚焦程序员、测试员、前端开发工程师、项目经理助理等岗位需求。</w:t>
            </w:r>
          </w:p>
          <w:p>
            <w:pPr>
              <w:widowControl/>
              <w:snapToGrid w:val="0"/>
              <w:spacing w:before="93" w:beforeLines="30" w:line="340" w:lineRule="exact"/>
              <w:ind w:firstLine="480" w:firstLineChars="200"/>
              <w:jc w:val="center"/>
              <w:rPr>
                <w:b/>
                <w:bCs/>
              </w:rPr>
            </w:pPr>
            <w:r>
              <w:rPr>
                <w:rFonts w:hint="eastAsia" w:ascii="仿宋_GB2312" w:hAnsi="仿宋_GB2312" w:eastAsia="仿宋_GB2312" w:cs="仿宋_GB2312"/>
                <w:kern w:val="0"/>
                <w:sz w:val="24"/>
                <w:szCs w:val="24"/>
              </w:rPr>
              <w:drawing>
                <wp:anchor distT="0" distB="0" distL="114300" distR="114300" simplePos="0" relativeHeight="251660288" behindDoc="0" locked="0" layoutInCell="1" allowOverlap="1">
                  <wp:simplePos x="0" y="0"/>
                  <wp:positionH relativeFrom="column">
                    <wp:posOffset>5080</wp:posOffset>
                  </wp:positionH>
                  <wp:positionV relativeFrom="page">
                    <wp:posOffset>1493520</wp:posOffset>
                  </wp:positionV>
                  <wp:extent cx="3636010" cy="1213485"/>
                  <wp:effectExtent l="0" t="0" r="2540" b="5715"/>
                  <wp:wrapTopAndBottom/>
                  <wp:docPr id="18" name="图片 2" descr="项目管理与岗位群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项目管理与岗位群v2"/>
                          <pic:cNvPicPr>
                            <a:picLocks noChangeAspect="1" noChangeArrowheads="1"/>
                          </pic:cNvPicPr>
                        </pic:nvPicPr>
                        <pic:blipFill>
                          <a:blip r:embed="rId8" cstate="print">
                            <a:extLst>
                              <a:ext uri="{28A0092B-C50C-407E-A947-70E740481C1C}">
                                <a14:useLocalDpi xmlns:a14="http://schemas.microsoft.com/office/drawing/2010/main" val="0"/>
                              </a:ext>
                            </a:extLst>
                          </a:blip>
                          <a:srcRect l="16983" t="15768" r="2913" b="46358"/>
                          <a:stretch>
                            <a:fillRect/>
                          </a:stretch>
                        </pic:blipFill>
                        <pic:spPr>
                          <a:xfrm>
                            <a:off x="0" y="0"/>
                            <a:ext cx="3636010" cy="1213485"/>
                          </a:xfrm>
                          <a:prstGeom prst="rect">
                            <a:avLst/>
                          </a:prstGeom>
                          <a:noFill/>
                          <a:ln>
                            <a:noFill/>
                          </a:ln>
                        </pic:spPr>
                      </pic:pic>
                    </a:graphicData>
                  </a:graphic>
                </wp:anchor>
              </w:drawing>
            </w:r>
            <w:r>
              <w:rPr>
                <w:b/>
                <w:bCs/>
              </w:rPr>
              <w:t xml:space="preserve">图 </w:t>
            </w:r>
            <w:r>
              <w:rPr>
                <w:rFonts w:hint="eastAsia"/>
                <w:b/>
                <w:bCs/>
              </w:rPr>
              <w:t>1  项目管理相关岗位分析</w:t>
            </w:r>
          </w:p>
          <w:p/>
          <w:p>
            <w:pPr>
              <w:widowControl/>
              <w:snapToGrid w:val="0"/>
              <w:spacing w:line="340" w:lineRule="exact"/>
              <w:ind w:firstLine="482"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（2）根据学情分析，确立学习模式</w:t>
            </w:r>
            <w:r>
              <w:rPr>
                <w:rFonts w:hint="eastAsia" w:ascii="仿宋_GB2312" w:hAnsi="仿宋_GB2312" w:eastAsia="仿宋_GB2312" w:cs="仿宋_GB2312"/>
                <w:kern w:val="0"/>
                <w:sz w:val="24"/>
                <w:szCs w:val="24"/>
              </w:rPr>
              <w:t>：通过创设典型专业领域项目任务情境，组织学生开展实际制作项目或模拟项目，学习通用项目管理、工程规范等知识，正确理解和掌握项目管理的流程，了解通用项目及典型行业项目实施过程的基本知识，编写项目过程中的对应文档。</w:t>
            </w:r>
          </w:p>
          <w:p>
            <w:pPr>
              <w:widowControl/>
              <w:snapToGrid w:val="0"/>
              <w:spacing w:line="340" w:lineRule="exact"/>
              <w:ind w:firstLine="482" w:firstLineChars="200"/>
              <w:jc w:val="left"/>
            </w:pPr>
            <w:r>
              <w:rPr>
                <w:rFonts w:hint="eastAsia" w:ascii="仿宋_GB2312" w:hAnsi="仿宋_GB2312" w:eastAsia="仿宋_GB2312" w:cs="仿宋_GB2312"/>
                <w:b/>
                <w:bCs/>
                <w:kern w:val="0"/>
                <w:sz w:val="24"/>
                <w:szCs w:val="24"/>
              </w:rPr>
              <w:t>（3）按照项目导学，发掘核心能力</w:t>
            </w:r>
            <w:r>
              <w:rPr>
                <w:rFonts w:hint="eastAsia" w:ascii="仿宋_GB2312" w:hAnsi="仿宋_GB2312" w:eastAsia="仿宋_GB2312" w:cs="仿宋_GB2312"/>
                <w:kern w:val="0"/>
                <w:sz w:val="24"/>
                <w:szCs w:val="24"/>
              </w:rPr>
              <w:t>：提升本专业项目掌控能力，提升项目相关技术的研究能力，提升执行力，增强创新创业能力。</w:t>
            </w:r>
          </w:p>
          <w:p>
            <w:pPr>
              <w:widowControl/>
              <w:snapToGrid w:val="0"/>
              <w:spacing w:line="340" w:lineRule="exact"/>
              <w:ind w:firstLine="482"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（4）依据课程思政，树立工匠目标</w:t>
            </w:r>
            <w:r>
              <w:rPr>
                <w:rFonts w:hint="eastAsia" w:ascii="仿宋_GB2312" w:hAnsi="仿宋_GB2312" w:eastAsia="仿宋_GB2312" w:cs="仿宋_GB2312"/>
                <w:kern w:val="0"/>
                <w:sz w:val="24"/>
                <w:szCs w:val="24"/>
              </w:rPr>
              <w:t>：将德育目标贯彻到知识传授、能力培养的过程。①引导学生正确分析国家、社会、企业、个人问题，爱国、爱人民、放眼国际，培养理想情怀、大局意识。②引导学生思考中国产品特色、社会主义制度优越性，增强民族自信、自豪感，激发学生科技报国的情怀。③引导学生融入团队，承担责任，团结互助，放眼企业、社会、国家，激发学生的使命担当意识。④引导学生感悟工匠精神，磨炼技能，面对困难，研究创新，实践职业精神、职业规范。⑤引导学生增强宪法法治意识，强化工程伦理、社会伦理教育，遵纪守法、诚信、公正。</w:t>
            </w:r>
          </w:p>
        </w:tc>
      </w:tr>
    </w:tbl>
    <w:p>
      <w:pPr>
        <w:spacing w:line="360" w:lineRule="exact"/>
        <w:rPr>
          <w:rFonts w:ascii="黑体" w:hAnsi="黑体" w:eastAsia="黑体"/>
          <w:sz w:val="24"/>
          <w:szCs w:val="24"/>
        </w:rPr>
      </w:pPr>
      <w:r>
        <w:rPr>
          <w:rFonts w:hint="eastAsia" w:ascii="仿宋_GB2312" w:hAnsi="仿宋_GB2312" w:eastAsia="仿宋_GB2312" w:cs="仿宋_GB2312"/>
          <w:sz w:val="22"/>
        </w:rPr>
        <w:t>注：（教务系统截图须至少包含开课时间、授课教师姓名等信息）</w:t>
      </w:r>
    </w:p>
    <w:p>
      <w:pPr>
        <w:rPr>
          <w:rFonts w:ascii="黑体" w:hAnsi="黑体" w:eastAsia="黑体"/>
          <w:sz w:val="24"/>
          <w:szCs w:val="24"/>
        </w:rPr>
      </w:pPr>
      <w:r>
        <w:rPr>
          <w:rFonts w:hint="eastAsia" w:ascii="黑体" w:hAnsi="黑体" w:eastAsia="黑体"/>
          <w:sz w:val="24"/>
          <w:szCs w:val="24"/>
        </w:rPr>
        <w:br w:type="page"/>
      </w:r>
      <w:r>
        <w:rPr>
          <w:rFonts w:hint="eastAsia" w:ascii="黑体" w:hAnsi="黑体" w:eastAsia="黑体"/>
          <w:sz w:val="24"/>
          <w:szCs w:val="24"/>
        </w:rPr>
        <w:t>二、授课教师基本情况</w:t>
      </w:r>
    </w:p>
    <w:tbl>
      <w:tblPr>
        <w:tblStyle w:val="9"/>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2582"/>
        <w:gridCol w:w="1887"/>
        <w:gridCol w:w="2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30" w:type="dxa"/>
            <w:vAlign w:val="center"/>
          </w:tcPr>
          <w:p>
            <w:pPr>
              <w:spacing w:line="340" w:lineRule="exact"/>
              <w:jc w:val="center"/>
              <w:rPr>
                <w:rFonts w:ascii="仿宋_GB2312" w:hAnsi="仿宋_GB2312" w:eastAsia="仿宋_GB2312" w:cs="仿宋_GB2312"/>
                <w:b/>
                <w:bCs/>
                <w:kern w:val="0"/>
                <w:sz w:val="24"/>
                <w:szCs w:val="24"/>
                <w:lang w:eastAsia="zh-Hans"/>
              </w:rPr>
            </w:pPr>
            <w:r>
              <w:rPr>
                <w:rFonts w:hint="eastAsia" w:ascii="仿宋_GB2312" w:hAnsi="仿宋_GB2312" w:eastAsia="仿宋_GB2312" w:cs="仿宋_GB2312"/>
                <w:b/>
                <w:bCs/>
                <w:kern w:val="0"/>
                <w:sz w:val="24"/>
                <w:szCs w:val="24"/>
                <w:lang w:eastAsia="zh-Hans"/>
              </w:rPr>
              <w:t>姓名</w:t>
            </w:r>
          </w:p>
        </w:tc>
        <w:tc>
          <w:tcPr>
            <w:tcW w:w="2582" w:type="dxa"/>
            <w:vAlign w:val="center"/>
          </w:tcPr>
          <w:p>
            <w:pPr>
              <w:spacing w:line="340" w:lineRule="exact"/>
              <w:jc w:val="center"/>
              <w:rPr>
                <w:rFonts w:ascii="仿宋_GB2312" w:hAnsi="仿宋_GB2312" w:eastAsia="仿宋_GB2312" w:cs="仿宋_GB2312"/>
                <w:kern w:val="0"/>
                <w:sz w:val="24"/>
                <w:szCs w:val="24"/>
                <w:lang w:eastAsia="zh-Hans"/>
              </w:rPr>
            </w:pPr>
            <w:r>
              <w:rPr>
                <w:rFonts w:hint="eastAsia" w:ascii="仿宋_GB2312" w:hAnsi="仿宋_GB2312" w:eastAsia="仿宋_GB2312" w:cs="仿宋_GB2312"/>
                <w:kern w:val="0"/>
                <w:sz w:val="24"/>
                <w:szCs w:val="24"/>
                <w:lang w:eastAsia="zh-Hans"/>
              </w:rPr>
              <w:t>李震阳</w:t>
            </w:r>
          </w:p>
        </w:tc>
        <w:tc>
          <w:tcPr>
            <w:tcW w:w="1887" w:type="dxa"/>
            <w:vAlign w:val="center"/>
          </w:tcPr>
          <w:p>
            <w:pPr>
              <w:spacing w:line="340" w:lineRule="exact"/>
              <w:jc w:val="center"/>
              <w:rPr>
                <w:rFonts w:ascii="仿宋_GB2312" w:hAnsi="仿宋_GB2312" w:eastAsia="仿宋_GB2312" w:cs="仿宋_GB2312"/>
                <w:b/>
                <w:bCs/>
                <w:kern w:val="0"/>
                <w:sz w:val="24"/>
                <w:szCs w:val="24"/>
                <w:lang w:eastAsia="zh-Hans"/>
              </w:rPr>
            </w:pPr>
            <w:r>
              <w:rPr>
                <w:rFonts w:hint="eastAsia" w:ascii="仿宋_GB2312" w:hAnsi="仿宋_GB2312" w:eastAsia="仿宋_GB2312" w:cs="仿宋_GB2312"/>
                <w:b/>
                <w:bCs/>
                <w:kern w:val="0"/>
                <w:sz w:val="24"/>
                <w:szCs w:val="24"/>
                <w:lang w:eastAsia="zh-Hans"/>
              </w:rPr>
              <w:t>出生年月</w:t>
            </w:r>
          </w:p>
        </w:tc>
        <w:tc>
          <w:tcPr>
            <w:tcW w:w="2517" w:type="dxa"/>
            <w:vAlign w:val="center"/>
          </w:tcPr>
          <w:p>
            <w:pPr>
              <w:spacing w:line="340" w:lineRule="exact"/>
              <w:jc w:val="center"/>
              <w:rPr>
                <w:rFonts w:ascii="仿宋_GB2312" w:hAnsi="仿宋_GB2312" w:eastAsia="仿宋_GB2312" w:cs="仿宋_GB2312"/>
                <w:kern w:val="0"/>
                <w:sz w:val="24"/>
                <w:szCs w:val="24"/>
                <w:lang w:eastAsia="zh-Hans"/>
              </w:rPr>
            </w:pPr>
            <w:r>
              <w:rPr>
                <w:rFonts w:hint="eastAsia" w:ascii="仿宋_GB2312" w:hAnsi="仿宋_GB2312" w:eastAsia="仿宋_GB2312" w:cs="仿宋_GB2312"/>
                <w:kern w:val="0"/>
                <w:sz w:val="24"/>
                <w:szCs w:val="24"/>
                <w:lang w:eastAsia="zh-Hans"/>
              </w:rPr>
              <w:t>1976年8月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30" w:type="dxa"/>
            <w:vAlign w:val="center"/>
          </w:tcPr>
          <w:p>
            <w:pPr>
              <w:spacing w:line="340" w:lineRule="exact"/>
              <w:jc w:val="center"/>
              <w:rPr>
                <w:rFonts w:ascii="仿宋_GB2312" w:hAnsi="仿宋_GB2312" w:eastAsia="仿宋_GB2312" w:cs="仿宋_GB2312"/>
                <w:b/>
                <w:bCs/>
                <w:kern w:val="0"/>
                <w:sz w:val="24"/>
                <w:szCs w:val="24"/>
                <w:lang w:eastAsia="zh-Hans"/>
              </w:rPr>
            </w:pPr>
            <w:r>
              <w:rPr>
                <w:rFonts w:hint="eastAsia" w:ascii="仿宋_GB2312" w:hAnsi="仿宋_GB2312" w:eastAsia="仿宋_GB2312" w:cs="仿宋_GB2312"/>
                <w:b/>
                <w:bCs/>
                <w:kern w:val="0"/>
                <w:sz w:val="24"/>
                <w:szCs w:val="24"/>
              </w:rPr>
              <w:t>职务</w:t>
            </w:r>
          </w:p>
        </w:tc>
        <w:tc>
          <w:tcPr>
            <w:tcW w:w="2582" w:type="dxa"/>
            <w:vAlign w:val="center"/>
          </w:tcPr>
          <w:p>
            <w:pPr>
              <w:spacing w:line="340" w:lineRule="exact"/>
              <w:jc w:val="center"/>
              <w:rPr>
                <w:rFonts w:ascii="仿宋_GB2312" w:hAnsi="仿宋_GB2312" w:eastAsia="仿宋_GB2312" w:cs="仿宋_GB2312"/>
                <w:kern w:val="0"/>
                <w:sz w:val="24"/>
                <w:szCs w:val="24"/>
                <w:lang w:eastAsia="zh-Hans"/>
              </w:rPr>
            </w:pPr>
            <w:r>
              <w:rPr>
                <w:rFonts w:hint="eastAsia" w:ascii="仿宋_GB2312" w:hAnsi="仿宋_GB2312" w:eastAsia="仿宋_GB2312" w:cs="仿宋_GB2312"/>
                <w:kern w:val="0"/>
                <w:sz w:val="24"/>
                <w:szCs w:val="24"/>
                <w:lang w:eastAsia="zh-Hans"/>
              </w:rPr>
              <w:t>专任教师</w:t>
            </w:r>
          </w:p>
        </w:tc>
        <w:tc>
          <w:tcPr>
            <w:tcW w:w="1887" w:type="dxa"/>
            <w:vAlign w:val="center"/>
          </w:tcPr>
          <w:p>
            <w:pPr>
              <w:spacing w:line="340" w:lineRule="exact"/>
              <w:jc w:val="center"/>
              <w:rPr>
                <w:rFonts w:ascii="仿宋_GB2312" w:hAnsi="仿宋_GB2312" w:eastAsia="仿宋_GB2312" w:cs="仿宋_GB2312"/>
                <w:b/>
                <w:bCs/>
                <w:kern w:val="0"/>
                <w:sz w:val="24"/>
                <w:szCs w:val="24"/>
                <w:lang w:eastAsia="zh-Hans"/>
              </w:rPr>
            </w:pPr>
            <w:r>
              <w:rPr>
                <w:rFonts w:hint="eastAsia" w:ascii="仿宋_GB2312" w:hAnsi="仿宋_GB2312" w:eastAsia="仿宋_GB2312" w:cs="仿宋_GB2312"/>
                <w:b/>
                <w:bCs/>
                <w:kern w:val="0"/>
                <w:sz w:val="24"/>
                <w:szCs w:val="24"/>
                <w:lang w:eastAsia="zh-Hans"/>
              </w:rPr>
              <w:t>职称</w:t>
            </w:r>
          </w:p>
        </w:tc>
        <w:tc>
          <w:tcPr>
            <w:tcW w:w="2517" w:type="dxa"/>
            <w:vAlign w:val="center"/>
          </w:tcPr>
          <w:p>
            <w:pPr>
              <w:spacing w:line="340" w:lineRule="exact"/>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eastAsia="zh-Hans"/>
              </w:rPr>
              <w:t>副教授</w:t>
            </w:r>
            <w:r>
              <w:rPr>
                <w:rFonts w:hint="eastAsia" w:ascii="仿宋_GB2312" w:hAnsi="仿宋_GB2312" w:eastAsia="仿宋_GB2312" w:cs="仿宋_GB2312"/>
                <w:kern w:val="0"/>
                <w:sz w:val="24"/>
                <w:szCs w:val="24"/>
              </w:rPr>
              <w:t>、</w:t>
            </w:r>
          </w:p>
          <w:p>
            <w:pPr>
              <w:spacing w:line="340" w:lineRule="exact"/>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信息系统项目管理师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30" w:type="dxa"/>
            <w:vAlign w:val="center"/>
          </w:tcPr>
          <w:p>
            <w:pPr>
              <w:spacing w:line="340" w:lineRule="exact"/>
              <w:jc w:val="center"/>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电话</w:t>
            </w:r>
          </w:p>
        </w:tc>
        <w:tc>
          <w:tcPr>
            <w:tcW w:w="2582" w:type="dxa"/>
            <w:vAlign w:val="center"/>
          </w:tcPr>
          <w:p>
            <w:pPr>
              <w:spacing w:line="340" w:lineRule="exact"/>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13808822578</w:t>
            </w:r>
          </w:p>
        </w:tc>
        <w:tc>
          <w:tcPr>
            <w:tcW w:w="1887" w:type="dxa"/>
            <w:vAlign w:val="center"/>
          </w:tcPr>
          <w:p>
            <w:pPr>
              <w:spacing w:line="340" w:lineRule="exact"/>
              <w:jc w:val="center"/>
              <w:rPr>
                <w:rFonts w:ascii="仿宋_GB2312" w:hAnsi="仿宋_GB2312" w:eastAsia="仿宋_GB2312" w:cs="仿宋_GB2312"/>
                <w:b/>
                <w:bCs/>
                <w:kern w:val="0"/>
                <w:sz w:val="24"/>
                <w:szCs w:val="24"/>
                <w:lang w:eastAsia="zh-Hans"/>
              </w:rPr>
            </w:pPr>
            <w:r>
              <w:rPr>
                <w:rFonts w:hint="eastAsia" w:ascii="仿宋_GB2312" w:hAnsi="仿宋_GB2312" w:eastAsia="仿宋_GB2312" w:cs="仿宋_GB2312"/>
                <w:b/>
                <w:bCs/>
                <w:kern w:val="0"/>
                <w:sz w:val="24"/>
                <w:szCs w:val="24"/>
                <w:lang w:eastAsia="zh-Hans"/>
              </w:rPr>
              <w:t>电子邮箱</w:t>
            </w:r>
          </w:p>
        </w:tc>
        <w:tc>
          <w:tcPr>
            <w:tcW w:w="2517" w:type="dxa"/>
            <w:vAlign w:val="center"/>
          </w:tcPr>
          <w:p>
            <w:pPr>
              <w:spacing w:line="340" w:lineRule="exact"/>
              <w:jc w:val="center"/>
              <w:rPr>
                <w:rFonts w:ascii="仿宋_GB2312" w:hAnsi="仿宋_GB2312" w:eastAsia="仿宋_GB2312" w:cs="仿宋_GB2312"/>
                <w:kern w:val="0"/>
                <w:sz w:val="24"/>
                <w:szCs w:val="24"/>
              </w:rPr>
            </w:pPr>
            <w:r>
              <w:rPr>
                <w:rFonts w:ascii="仿宋_GB2312" w:hAnsi="仿宋_GB2312" w:eastAsia="仿宋_GB2312" w:cs="仿宋_GB2312"/>
                <w:kern w:val="0"/>
                <w:sz w:val="24"/>
                <w:szCs w:val="24"/>
              </w:rPr>
              <w:t>362351668@qq.com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5" w:hRule="atLeast"/>
        </w:trPr>
        <w:tc>
          <w:tcPr>
            <w:tcW w:w="1530" w:type="dxa"/>
            <w:vAlign w:val="center"/>
          </w:tcPr>
          <w:p>
            <w:pPr>
              <w:spacing w:line="340" w:lineRule="exact"/>
              <w:rPr>
                <w:rFonts w:ascii="仿宋_GB2312" w:hAnsi="仿宋_GB2312" w:eastAsia="仿宋_GB2312" w:cs="仿宋_GB2312"/>
                <w:b/>
                <w:bCs/>
                <w:kern w:val="0"/>
                <w:sz w:val="24"/>
                <w:szCs w:val="24"/>
                <w:lang w:eastAsia="zh-Hans"/>
              </w:rPr>
            </w:pPr>
            <w:r>
              <w:rPr>
                <w:rFonts w:hint="eastAsia" w:ascii="仿宋_GB2312" w:hAnsi="仿宋_GB2312" w:eastAsia="仿宋_GB2312" w:cs="仿宋_GB2312"/>
                <w:b/>
                <w:bCs/>
                <w:kern w:val="0"/>
                <w:sz w:val="24"/>
                <w:szCs w:val="24"/>
              </w:rPr>
              <w:t>课程思政建设教学实践情况</w:t>
            </w:r>
          </w:p>
        </w:tc>
        <w:tc>
          <w:tcPr>
            <w:tcW w:w="6986" w:type="dxa"/>
            <w:gridSpan w:val="3"/>
          </w:tcPr>
          <w:p>
            <w:pPr>
              <w:pStyle w:val="2"/>
              <w:spacing w:after="240"/>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（描述本人主要开展的课程思政教学实践情况）</w:t>
            </w:r>
          </w:p>
          <w:p>
            <w:pPr>
              <w:pStyle w:val="2"/>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近5年，本人主要承担《</w:t>
            </w:r>
            <w:r>
              <w:rPr>
                <w:rFonts w:hint="eastAsia" w:ascii="仿宋_GB2312" w:hAnsi="仿宋_GB2312" w:eastAsia="仿宋_GB2312" w:cs="仿宋_GB2312"/>
                <w:b/>
                <w:bCs/>
                <w:kern w:val="0"/>
                <w:sz w:val="24"/>
                <w:szCs w:val="24"/>
              </w:rPr>
              <w:t>项目管理</w:t>
            </w:r>
            <w:r>
              <w:rPr>
                <w:rFonts w:hint="eastAsia" w:ascii="仿宋_GB2312" w:hAnsi="仿宋_GB2312" w:eastAsia="仿宋_GB2312" w:cs="仿宋_GB2312"/>
                <w:kern w:val="0"/>
                <w:sz w:val="24"/>
                <w:szCs w:val="24"/>
              </w:rPr>
              <w:t>》、《动态网站开发》、《高级语言程序设计》、《项目实践II》、《移动应用企业级开发》等课程授课，每年指导学生毕业综合项目与顶岗实习。</w:t>
            </w:r>
          </w:p>
          <w:p>
            <w:pPr>
              <w:pStyle w:val="2"/>
              <w:numPr>
                <w:ilvl w:val="0"/>
                <w:numId w:val="1"/>
              </w:numPr>
              <w:ind w:firstLine="482" w:firstLineChars="200"/>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实践项目管理课程思政，搭建工匠资源平台</w:t>
            </w:r>
          </w:p>
          <w:p>
            <w:pPr>
              <w:pStyle w:val="2"/>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（1）结合课程思政目标，持续修订更新课程标准、教学设计，发掘思政教育资源整合</w:t>
            </w:r>
            <w:r>
              <w:rPr>
                <w:rFonts w:hint="eastAsia" w:ascii="仿宋_GB2312" w:hAnsi="仿宋_GB2312" w:eastAsia="仿宋_GB2312" w:cs="仿宋_GB2312"/>
                <w:b/>
                <w:bCs/>
                <w:kern w:val="0"/>
                <w:sz w:val="24"/>
                <w:szCs w:val="24"/>
              </w:rPr>
              <w:t>16篇案例文章、8篇教师指引、相关主题论文等</w:t>
            </w:r>
            <w:r>
              <w:rPr>
                <w:rFonts w:hint="eastAsia" w:ascii="仿宋_GB2312" w:hAnsi="仿宋_GB2312" w:eastAsia="仿宋_GB2312" w:cs="仿宋_GB2312"/>
                <w:kern w:val="0"/>
                <w:sz w:val="24"/>
                <w:szCs w:val="24"/>
              </w:rPr>
              <w:t xml:space="preserve">授课与自学资料，修订各单元课件、实训指导文件、考核方案。 </w:t>
            </w:r>
          </w:p>
          <w:p>
            <w:pPr>
              <w:pStyle w:val="2"/>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（2）持续研究和改进</w:t>
            </w:r>
            <w:r>
              <w:rPr>
                <w:rFonts w:hint="eastAsia" w:ascii="仿宋_GB2312" w:hAnsi="仿宋_GB2312" w:eastAsia="仿宋_GB2312" w:cs="仿宋_GB2312"/>
                <w:b/>
                <w:bCs/>
                <w:kern w:val="0"/>
                <w:sz w:val="24"/>
                <w:szCs w:val="24"/>
              </w:rPr>
              <w:t>教学方法、教学策略</w:t>
            </w:r>
            <w:r>
              <w:rPr>
                <w:rFonts w:hint="eastAsia" w:ascii="仿宋_GB2312" w:hAnsi="仿宋_GB2312" w:eastAsia="仿宋_GB2312" w:cs="仿宋_GB2312"/>
                <w:kern w:val="0"/>
                <w:sz w:val="24"/>
                <w:szCs w:val="24"/>
              </w:rPr>
              <w:t xml:space="preserve">，项目导向，设计情境，结合双线六步教学法等模式，将思政教育融入课堂特定环节，以合适的方式呈现名匠、名企、国家、社会等案例，树立大局意识，激发使命与担当，培养各方面品质。 </w:t>
            </w:r>
          </w:p>
          <w:p>
            <w:pPr>
              <w:pStyle w:val="2"/>
              <w:numPr>
                <w:ilvl w:val="0"/>
                <w:numId w:val="2"/>
              </w:numPr>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持续制作资源建设课程教学平台，历经得实平台阶段、超星平台阶段、学银在线平台阶段，基于课程思政教学目标改进网站，成功立项为</w:t>
            </w:r>
            <w:r>
              <w:rPr>
                <w:rFonts w:hint="eastAsia" w:ascii="仿宋_GB2312" w:hAnsi="仿宋_GB2312" w:eastAsia="仿宋_GB2312" w:cs="仿宋_GB2312"/>
                <w:b/>
                <w:bCs/>
                <w:kern w:val="0"/>
                <w:sz w:val="24"/>
                <w:szCs w:val="24"/>
              </w:rPr>
              <w:t>省级精品资源共享课</w:t>
            </w:r>
            <w:r>
              <w:rPr>
                <w:rFonts w:hint="eastAsia" w:ascii="仿宋_GB2312" w:hAnsi="仿宋_GB2312" w:eastAsia="仿宋_GB2312" w:cs="仿宋_GB2312"/>
                <w:kern w:val="0"/>
                <w:sz w:val="24"/>
                <w:szCs w:val="24"/>
              </w:rPr>
              <w:t>。网站具备各能力模块、各实训项目的立体化数字资源，支持</w:t>
            </w:r>
            <w:r>
              <w:rPr>
                <w:rFonts w:hint="eastAsia" w:ascii="仿宋_GB2312" w:hAnsi="仿宋_GB2312" w:eastAsia="仿宋_GB2312" w:cs="仿宋_GB2312"/>
                <w:b/>
                <w:bCs/>
                <w:kern w:val="0"/>
                <w:sz w:val="24"/>
                <w:szCs w:val="24"/>
              </w:rPr>
              <w:t>线上线下混合式教学</w:t>
            </w:r>
            <w:r>
              <w:rPr>
                <w:rFonts w:hint="eastAsia" w:ascii="仿宋_GB2312" w:hAnsi="仿宋_GB2312" w:eastAsia="仿宋_GB2312" w:cs="仿宋_GB2312"/>
                <w:kern w:val="0"/>
                <w:sz w:val="24"/>
                <w:szCs w:val="24"/>
              </w:rPr>
              <w:t>，学银在线平台面向全网人员开放，已有兄弟院校学生</w:t>
            </w:r>
            <w:r>
              <w:rPr>
                <w:rFonts w:hint="eastAsia" w:ascii="仿宋_GB2312" w:hAnsi="仿宋_GB2312" w:eastAsia="仿宋_GB2312" w:cs="仿宋_GB2312"/>
                <w:b/>
                <w:bCs/>
                <w:kern w:val="0"/>
                <w:sz w:val="24"/>
                <w:szCs w:val="24"/>
              </w:rPr>
              <w:t>远程选修</w:t>
            </w:r>
            <w:r>
              <w:rPr>
                <w:rFonts w:hint="eastAsia" w:ascii="仿宋_GB2312" w:hAnsi="仿宋_GB2312" w:eastAsia="仿宋_GB2312" w:cs="仿宋_GB2312"/>
                <w:kern w:val="0"/>
                <w:sz w:val="24"/>
                <w:szCs w:val="24"/>
              </w:rPr>
              <w:t>本课程。</w:t>
            </w:r>
          </w:p>
          <w:p>
            <w:pPr>
              <w:pStyle w:val="2"/>
              <w:numPr>
                <w:ilvl w:val="0"/>
                <w:numId w:val="2"/>
              </w:numPr>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制作图片与视频等数字资源，支持课堂教学，并提供到</w:t>
            </w:r>
            <w:r>
              <w:rPr>
                <w:rFonts w:hint="eastAsia" w:ascii="仿宋_GB2312" w:hAnsi="仿宋_GB2312" w:eastAsia="仿宋_GB2312" w:cs="仿宋_GB2312"/>
                <w:b/>
                <w:bCs/>
                <w:kern w:val="0"/>
                <w:sz w:val="24"/>
                <w:szCs w:val="24"/>
              </w:rPr>
              <w:t>专业资源库</w:t>
            </w:r>
            <w:r>
              <w:rPr>
                <w:rFonts w:hint="eastAsia" w:ascii="仿宋_GB2312" w:hAnsi="仿宋_GB2312" w:eastAsia="仿宋_GB2312" w:cs="仿宋_GB2312"/>
                <w:kern w:val="0"/>
                <w:sz w:val="24"/>
                <w:szCs w:val="24"/>
              </w:rPr>
              <w:t>与全国开放的</w:t>
            </w:r>
            <w:r>
              <w:rPr>
                <w:rFonts w:hint="eastAsia" w:ascii="仿宋_GB2312" w:hAnsi="仿宋_GB2312" w:eastAsia="仿宋_GB2312" w:cs="仿宋_GB2312"/>
                <w:b/>
                <w:bCs/>
                <w:kern w:val="0"/>
                <w:sz w:val="24"/>
                <w:szCs w:val="24"/>
              </w:rPr>
              <w:t>课程思政资源平台</w:t>
            </w:r>
            <w:r>
              <w:rPr>
                <w:rFonts w:hint="eastAsia" w:ascii="仿宋_GB2312" w:hAnsi="仿宋_GB2312" w:eastAsia="仿宋_GB2312" w:cs="仿宋_GB2312"/>
                <w:kern w:val="0"/>
                <w:sz w:val="24"/>
                <w:szCs w:val="24"/>
              </w:rPr>
              <w:t>。</w:t>
            </w:r>
          </w:p>
          <w:p>
            <w:pPr>
              <w:pStyle w:val="2"/>
              <w:numPr>
                <w:ilvl w:val="0"/>
                <w:numId w:val="2"/>
              </w:numPr>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依托企业项目群、校园项目群，结合项目管理实训目标、课程思政目标，规划和实施</w:t>
            </w:r>
            <w:r>
              <w:rPr>
                <w:rFonts w:hint="eastAsia" w:ascii="仿宋_GB2312" w:hAnsi="仿宋_GB2312" w:eastAsia="仿宋_GB2312" w:cs="仿宋_GB2312"/>
                <w:b/>
                <w:bCs/>
                <w:kern w:val="0"/>
                <w:sz w:val="24"/>
                <w:szCs w:val="24"/>
              </w:rPr>
              <w:t>课外实践项目</w:t>
            </w:r>
            <w:r>
              <w:rPr>
                <w:rFonts w:hint="eastAsia" w:ascii="仿宋_GB2312" w:hAnsi="仿宋_GB2312" w:eastAsia="仿宋_GB2312" w:cs="仿宋_GB2312"/>
                <w:kern w:val="0"/>
                <w:sz w:val="24"/>
                <w:szCs w:val="24"/>
              </w:rPr>
              <w:t>。</w:t>
            </w:r>
          </w:p>
          <w:p>
            <w:pPr>
              <w:pStyle w:val="2"/>
              <w:numPr>
                <w:ilvl w:val="0"/>
                <w:numId w:val="1"/>
              </w:numPr>
              <w:ind w:firstLine="482" w:firstLineChars="200"/>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修订课程思政标准，强化实践教学体系</w:t>
            </w:r>
          </w:p>
          <w:p>
            <w:pPr>
              <w:pStyle w:val="2"/>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（1）参加软件技术等专业的</w:t>
            </w:r>
            <w:r>
              <w:rPr>
                <w:rFonts w:hint="eastAsia" w:ascii="仿宋_GB2312" w:hAnsi="仿宋_GB2312" w:eastAsia="仿宋_GB2312" w:cs="仿宋_GB2312"/>
                <w:b/>
                <w:bCs/>
                <w:kern w:val="0"/>
                <w:sz w:val="24"/>
                <w:szCs w:val="24"/>
              </w:rPr>
              <w:t>人才培养方案</w:t>
            </w:r>
            <w:r>
              <w:rPr>
                <w:rFonts w:hint="eastAsia" w:ascii="仿宋_GB2312" w:hAnsi="仿宋_GB2312" w:eastAsia="仿宋_GB2312" w:cs="仿宋_GB2312"/>
                <w:kern w:val="0"/>
                <w:sz w:val="24"/>
                <w:szCs w:val="24"/>
              </w:rPr>
              <w:t xml:space="preserve">修订工作，探讨课程思政工作思路，融入课程思政教育内容。 </w:t>
            </w:r>
          </w:p>
          <w:p>
            <w:pPr>
              <w:pStyle w:val="2"/>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（2）参照学校要求修订</w:t>
            </w:r>
            <w:r>
              <w:rPr>
                <w:rFonts w:hint="eastAsia" w:ascii="仿宋_GB2312" w:hAnsi="仿宋_GB2312" w:eastAsia="仿宋_GB2312" w:cs="仿宋_GB2312"/>
                <w:b/>
                <w:bCs/>
                <w:kern w:val="0"/>
                <w:sz w:val="24"/>
                <w:szCs w:val="24"/>
              </w:rPr>
              <w:t>其他课程</w:t>
            </w:r>
            <w:r>
              <w:rPr>
                <w:rFonts w:hint="eastAsia" w:ascii="仿宋_GB2312" w:hAnsi="仿宋_GB2312" w:eastAsia="仿宋_GB2312" w:cs="仿宋_GB2312"/>
                <w:kern w:val="0"/>
                <w:sz w:val="24"/>
                <w:szCs w:val="24"/>
              </w:rPr>
              <w:t>相关文件，发掘课程思政元素，制作课程思政资源。</w:t>
            </w:r>
          </w:p>
          <w:p>
            <w:pPr>
              <w:pStyle w:val="2"/>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（3）参加软件技术专业</w:t>
            </w:r>
            <w:r>
              <w:rPr>
                <w:rFonts w:hint="eastAsia" w:ascii="仿宋_GB2312" w:hAnsi="仿宋_GB2312" w:eastAsia="仿宋_GB2312" w:cs="仿宋_GB2312"/>
                <w:b/>
                <w:bCs/>
                <w:kern w:val="0"/>
                <w:sz w:val="24"/>
                <w:szCs w:val="24"/>
              </w:rPr>
              <w:t>课程思政元素库</w:t>
            </w:r>
            <w:r>
              <w:rPr>
                <w:rFonts w:hint="eastAsia" w:ascii="仿宋_GB2312" w:hAnsi="仿宋_GB2312" w:eastAsia="仿宋_GB2312" w:cs="仿宋_GB2312"/>
                <w:kern w:val="0"/>
                <w:sz w:val="24"/>
                <w:szCs w:val="24"/>
              </w:rPr>
              <w:t>建设、</w:t>
            </w:r>
            <w:r>
              <w:rPr>
                <w:rFonts w:hint="eastAsia" w:ascii="仿宋_GB2312" w:hAnsi="仿宋_GB2312" w:eastAsia="仿宋_GB2312" w:cs="仿宋_GB2312"/>
                <w:b/>
                <w:bCs/>
                <w:kern w:val="0"/>
                <w:sz w:val="24"/>
                <w:szCs w:val="24"/>
              </w:rPr>
              <w:t>课程思政资源库</w:t>
            </w:r>
            <w:r>
              <w:rPr>
                <w:rFonts w:hint="eastAsia" w:ascii="仿宋_GB2312" w:hAnsi="仿宋_GB2312" w:eastAsia="仿宋_GB2312" w:cs="仿宋_GB2312"/>
                <w:kern w:val="0"/>
                <w:sz w:val="24"/>
                <w:szCs w:val="24"/>
              </w:rPr>
              <w:t>建设工作。</w:t>
            </w:r>
          </w:p>
          <w:p>
            <w:pPr>
              <w:pStyle w:val="2"/>
              <w:ind w:firstLine="480" w:firstLineChars="200"/>
              <w:rPr>
                <w:rFonts w:ascii="仿宋_GB2312" w:hAnsi="仿宋_GB2312" w:eastAsia="仿宋_GB2312" w:cs="仿宋_GB2312"/>
                <w:kern w:val="0"/>
                <w:sz w:val="24"/>
                <w:szCs w:val="24"/>
                <w:lang w:eastAsia="zh-Hans"/>
              </w:rPr>
            </w:pPr>
            <w:r>
              <w:rPr>
                <w:rFonts w:hint="eastAsia" w:ascii="仿宋_GB2312" w:hAnsi="仿宋_GB2312" w:eastAsia="仿宋_GB2312" w:cs="仿宋_GB2312"/>
                <w:kern w:val="0"/>
                <w:sz w:val="24"/>
                <w:szCs w:val="24"/>
              </w:rPr>
              <w:t>（4）主持或参加软件技术专业</w:t>
            </w:r>
            <w:r>
              <w:rPr>
                <w:rFonts w:hint="eastAsia" w:ascii="仿宋_GB2312" w:hAnsi="仿宋_GB2312" w:eastAsia="仿宋_GB2312" w:cs="仿宋_GB2312"/>
                <w:b/>
                <w:bCs/>
                <w:kern w:val="0"/>
                <w:sz w:val="24"/>
                <w:szCs w:val="24"/>
              </w:rPr>
              <w:t>蓝盾校外实践基地</w:t>
            </w:r>
            <w:r>
              <w:rPr>
                <w:rFonts w:hint="eastAsia" w:ascii="仿宋_GB2312" w:hAnsi="仿宋_GB2312" w:eastAsia="仿宋_GB2312" w:cs="仿宋_GB2312"/>
                <w:kern w:val="0"/>
                <w:sz w:val="24"/>
                <w:szCs w:val="24"/>
              </w:rPr>
              <w:t>、</w:t>
            </w:r>
            <w:r>
              <w:rPr>
                <w:rFonts w:hint="eastAsia" w:ascii="仿宋_GB2312" w:hAnsi="仿宋_GB2312" w:eastAsia="仿宋_GB2312" w:cs="仿宋_GB2312"/>
                <w:b/>
                <w:bCs/>
                <w:kern w:val="0"/>
                <w:sz w:val="24"/>
                <w:szCs w:val="24"/>
              </w:rPr>
              <w:t>红讯软件校外实践基地</w:t>
            </w:r>
            <w:r>
              <w:rPr>
                <w:rFonts w:hint="eastAsia" w:ascii="仿宋_GB2312" w:hAnsi="仿宋_GB2312" w:eastAsia="仿宋_GB2312" w:cs="仿宋_GB2312"/>
                <w:kern w:val="0"/>
                <w:sz w:val="24"/>
                <w:szCs w:val="24"/>
              </w:rPr>
              <w:t>、</w:t>
            </w:r>
            <w:r>
              <w:rPr>
                <w:rFonts w:hint="eastAsia" w:ascii="仿宋_GB2312" w:hAnsi="仿宋_GB2312" w:eastAsia="仿宋_GB2312" w:cs="仿宋_GB2312"/>
                <w:b/>
                <w:bCs/>
                <w:kern w:val="0"/>
                <w:sz w:val="24"/>
                <w:szCs w:val="24"/>
              </w:rPr>
              <w:t>学生创新工作室</w:t>
            </w:r>
            <w:r>
              <w:rPr>
                <w:rFonts w:hint="eastAsia" w:ascii="仿宋_GB2312" w:hAnsi="仿宋_GB2312" w:eastAsia="仿宋_GB2312" w:cs="仿宋_GB2312"/>
                <w:kern w:val="0"/>
                <w:sz w:val="24"/>
                <w:szCs w:val="24"/>
              </w:rPr>
              <w:t>等实践基地的建设、运行工作，推动实习实训、技能竞赛、外包制作、创新创业等项目。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4" w:hRule="atLeast"/>
        </w:trPr>
        <w:tc>
          <w:tcPr>
            <w:tcW w:w="1530" w:type="dxa"/>
            <w:vAlign w:val="center"/>
          </w:tcPr>
          <w:p>
            <w:pPr>
              <w:spacing w:line="340" w:lineRule="exact"/>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课程思政建设研究情况</w:t>
            </w:r>
          </w:p>
        </w:tc>
        <w:tc>
          <w:tcPr>
            <w:tcW w:w="6986" w:type="dxa"/>
            <w:gridSpan w:val="3"/>
          </w:tcPr>
          <w:p>
            <w:pPr>
              <w:pStyle w:val="2"/>
              <w:ind w:firstLineChars="200"/>
            </w:pPr>
            <w:r>
              <w:rPr>
                <w:rFonts w:hint="eastAsia"/>
              </w:rPr>
              <w:t>（描述本人主要开展的课程思政教学研究和理论研究情况）</w:t>
            </w:r>
          </w:p>
          <w:p>
            <w:pPr>
              <w:pStyle w:val="2"/>
              <w:ind w:firstLine="480" w:firstLineChars="200"/>
              <w:rPr>
                <w:rFonts w:ascii="仿宋_GB2312" w:hAnsi="仿宋_GB2312" w:eastAsia="仿宋_GB2312" w:cs="仿宋_GB2312"/>
                <w:kern w:val="0"/>
                <w:sz w:val="24"/>
                <w:szCs w:val="24"/>
                <w:lang w:eastAsia="zh-Hans"/>
              </w:rPr>
            </w:pPr>
            <w:r>
              <w:rPr>
                <w:rFonts w:hint="eastAsia" w:ascii="仿宋_GB2312" w:hAnsi="仿宋_GB2312" w:eastAsia="仿宋_GB2312" w:cs="仿宋_GB2312"/>
                <w:kern w:val="0"/>
                <w:sz w:val="24"/>
                <w:szCs w:val="24"/>
              </w:rPr>
              <w:t>（1）</w:t>
            </w:r>
            <w:r>
              <w:rPr>
                <w:rFonts w:hint="eastAsia" w:ascii="仿宋_GB2312" w:hAnsi="仿宋_GB2312" w:eastAsia="仿宋_GB2312" w:cs="仿宋_GB2312"/>
                <w:kern w:val="0"/>
                <w:sz w:val="24"/>
                <w:szCs w:val="24"/>
                <w:lang w:eastAsia="zh-Hans"/>
              </w:rPr>
              <w:t>主持广东省教育厅项目《</w:t>
            </w:r>
            <w:r>
              <w:rPr>
                <w:rFonts w:hint="eastAsia" w:ascii="仿宋_GB2312" w:hAnsi="仿宋_GB2312" w:eastAsia="仿宋_GB2312" w:cs="仿宋_GB2312"/>
                <w:b/>
                <w:bCs/>
                <w:kern w:val="0"/>
                <w:sz w:val="24"/>
                <w:szCs w:val="24"/>
                <w:lang w:eastAsia="zh-Hans"/>
              </w:rPr>
              <w:t>项目管理精品开放课程建设项目</w:t>
            </w:r>
            <w:r>
              <w:rPr>
                <w:rFonts w:hint="eastAsia" w:ascii="仿宋_GB2312" w:hAnsi="仿宋_GB2312" w:eastAsia="仿宋_GB2312" w:cs="仿宋_GB2312"/>
                <w:kern w:val="0"/>
                <w:sz w:val="24"/>
                <w:szCs w:val="24"/>
                <w:lang w:eastAsia="zh-Hans"/>
              </w:rPr>
              <w:t>》（粤教高函〔2015〕24 号）。</w:t>
            </w:r>
          </w:p>
          <w:p>
            <w:pPr>
              <w:pStyle w:val="2"/>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r>
              <w:rPr>
                <w:rFonts w:hint="eastAsia" w:ascii="仿宋_GB2312" w:hAnsi="仿宋_GB2312" w:eastAsia="仿宋_GB2312" w:cs="仿宋_GB2312"/>
                <w:kern w:val="0"/>
                <w:sz w:val="24"/>
                <w:szCs w:val="24"/>
                <w:lang w:eastAsia="zh-Hans"/>
              </w:rPr>
              <w:t>主持广东省教育厅项目《</w:t>
            </w:r>
            <w:r>
              <w:rPr>
                <w:rFonts w:hint="eastAsia" w:ascii="仿宋_GB2312" w:hAnsi="仿宋_GB2312" w:eastAsia="仿宋_GB2312" w:cs="仿宋_GB2312"/>
                <w:b/>
                <w:bCs/>
                <w:kern w:val="0"/>
                <w:sz w:val="24"/>
                <w:szCs w:val="24"/>
                <w:lang w:eastAsia="zh-Hans"/>
              </w:rPr>
              <w:t>广东工程职业技术学院软件与信息服务专业群蓝盾实践基地</w:t>
            </w:r>
            <w:r>
              <w:rPr>
                <w:rFonts w:hint="eastAsia" w:ascii="仿宋_GB2312" w:hAnsi="仿宋_GB2312" w:eastAsia="仿宋_GB2312" w:cs="仿宋_GB2312"/>
                <w:kern w:val="0"/>
                <w:sz w:val="24"/>
                <w:szCs w:val="24"/>
                <w:lang w:eastAsia="zh-Hans"/>
              </w:rPr>
              <w:t>》（粤教高函〔2014〕72 号）</w:t>
            </w:r>
            <w:r>
              <w:rPr>
                <w:rFonts w:hint="eastAsia" w:ascii="仿宋_GB2312" w:hAnsi="仿宋_GB2312" w:eastAsia="仿宋_GB2312" w:cs="仿宋_GB2312"/>
                <w:kern w:val="0"/>
                <w:sz w:val="24"/>
                <w:szCs w:val="24"/>
              </w:rPr>
              <w:t>。</w:t>
            </w:r>
          </w:p>
          <w:p>
            <w:pPr>
              <w:pStyle w:val="2"/>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（3）主持</w:t>
            </w:r>
            <w:r>
              <w:rPr>
                <w:rFonts w:hint="eastAsia" w:ascii="仿宋_GB2312" w:hAnsi="仿宋_GB2312" w:eastAsia="仿宋_GB2312" w:cs="仿宋_GB2312"/>
                <w:kern w:val="0"/>
                <w:sz w:val="24"/>
                <w:szCs w:val="24"/>
                <w:lang w:eastAsia="zh-Hans"/>
              </w:rPr>
              <w:t>校级《项目管理》</w:t>
            </w:r>
            <w:r>
              <w:rPr>
                <w:rFonts w:hint="eastAsia" w:ascii="仿宋_GB2312" w:hAnsi="仿宋_GB2312" w:eastAsia="仿宋_GB2312" w:cs="仿宋_GB2312"/>
                <w:b/>
                <w:bCs/>
                <w:kern w:val="0"/>
                <w:sz w:val="24"/>
                <w:szCs w:val="24"/>
                <w:lang w:eastAsia="zh-Hans"/>
              </w:rPr>
              <w:t>课程思政示范课程</w:t>
            </w:r>
            <w:r>
              <w:rPr>
                <w:rFonts w:hint="eastAsia" w:ascii="仿宋_GB2312" w:hAnsi="仿宋_GB2312" w:eastAsia="仿宋_GB2312" w:cs="仿宋_GB2312"/>
                <w:kern w:val="0"/>
                <w:sz w:val="24"/>
                <w:szCs w:val="24"/>
              </w:rPr>
              <w:t>建设项目（</w:t>
            </w:r>
            <w:r>
              <w:rPr>
                <w:rFonts w:hint="eastAsia" w:ascii="仿宋_GB2312" w:hAnsi="仿宋_GB2312" w:eastAsia="仿宋_GB2312" w:cs="仿宋_GB2312"/>
                <w:kern w:val="0"/>
                <w:sz w:val="24"/>
                <w:szCs w:val="24"/>
                <w:lang w:eastAsia="zh-Hans"/>
              </w:rPr>
              <w:t>2022年度</w:t>
            </w:r>
            <w:r>
              <w:rPr>
                <w:rFonts w:hint="eastAsia" w:ascii="仿宋_GB2312" w:hAnsi="仿宋_GB2312" w:eastAsia="仿宋_GB2312" w:cs="仿宋_GB2312"/>
                <w:kern w:val="0"/>
                <w:sz w:val="24"/>
                <w:szCs w:val="24"/>
              </w:rPr>
              <w:t>）。</w:t>
            </w:r>
          </w:p>
          <w:p>
            <w:pPr>
              <w:pStyle w:val="2"/>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（4）主持《项目管理》校级</w:t>
            </w:r>
            <w:r>
              <w:rPr>
                <w:rFonts w:hint="eastAsia" w:ascii="仿宋_GB2312" w:hAnsi="仿宋_GB2312" w:eastAsia="仿宋_GB2312" w:cs="仿宋_GB2312"/>
                <w:b/>
                <w:bCs/>
                <w:kern w:val="0"/>
                <w:sz w:val="24"/>
                <w:szCs w:val="24"/>
              </w:rPr>
              <w:t>课程思政教学团队</w:t>
            </w:r>
            <w:r>
              <w:rPr>
                <w:rFonts w:hint="eastAsia" w:ascii="仿宋_GB2312" w:hAnsi="仿宋_GB2312" w:eastAsia="仿宋_GB2312" w:cs="仿宋_GB2312"/>
                <w:kern w:val="0"/>
                <w:sz w:val="24"/>
                <w:szCs w:val="24"/>
              </w:rPr>
              <w:t>工作（2022年度）。</w:t>
            </w:r>
          </w:p>
          <w:p>
            <w:pPr>
              <w:pStyle w:val="2"/>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（5）参加广东省教育厅课题《</w:t>
            </w:r>
            <w:r>
              <w:rPr>
                <w:rFonts w:hint="eastAsia" w:ascii="仿宋_GB2312" w:hAnsi="仿宋_GB2312" w:eastAsia="仿宋_GB2312" w:cs="仿宋_GB2312"/>
                <w:b/>
                <w:bCs/>
                <w:kern w:val="0"/>
                <w:sz w:val="24"/>
                <w:szCs w:val="24"/>
              </w:rPr>
              <w:t>高职院校第三方人才培养质量评价机制和体系的构建与实践</w:t>
            </w:r>
            <w:r>
              <w:rPr>
                <w:rFonts w:hint="eastAsia" w:ascii="仿宋_GB2312" w:hAnsi="仿宋_GB2312" w:eastAsia="仿宋_GB2312" w:cs="仿宋_GB2312"/>
                <w:kern w:val="0"/>
                <w:sz w:val="24"/>
                <w:szCs w:val="24"/>
              </w:rPr>
              <w:t>》（2013年）。</w:t>
            </w:r>
          </w:p>
          <w:p>
            <w:pPr>
              <w:pStyle w:val="2"/>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（6）参加广东省教育厅项目《</w:t>
            </w:r>
            <w:r>
              <w:rPr>
                <w:rFonts w:hint="eastAsia" w:ascii="仿宋_GB2312" w:hAnsi="仿宋_GB2312" w:eastAsia="仿宋_GB2312" w:cs="仿宋_GB2312"/>
                <w:b/>
                <w:bCs/>
                <w:kern w:val="0"/>
                <w:sz w:val="24"/>
                <w:szCs w:val="24"/>
              </w:rPr>
              <w:t>广州红迅软件有限公司软件技术专业校外实践教学基地</w:t>
            </w:r>
            <w:r>
              <w:rPr>
                <w:rFonts w:hint="eastAsia" w:ascii="仿宋_GB2312" w:hAnsi="仿宋_GB2312" w:eastAsia="仿宋_GB2312" w:cs="仿宋_GB2312"/>
                <w:kern w:val="0"/>
                <w:sz w:val="24"/>
                <w:szCs w:val="24"/>
              </w:rPr>
              <w:t>》（ 2022年立项）。</w:t>
            </w:r>
          </w:p>
          <w:p>
            <w:pPr>
              <w:pStyle w:val="2"/>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w:t>
            </w:r>
            <w:r>
              <w:rPr>
                <w:rFonts w:hint="eastAsia" w:ascii="仿宋_GB2312" w:hAnsi="仿宋_GB2312" w:eastAsia="仿宋_GB2312" w:cs="仿宋_GB2312"/>
                <w:kern w:val="0"/>
                <w:sz w:val="24"/>
                <w:szCs w:val="24"/>
                <w:lang w:eastAsia="zh-Hans"/>
              </w:rPr>
              <w:t>参加广东工程职业技术学院项目《</w:t>
            </w:r>
            <w:r>
              <w:rPr>
                <w:rFonts w:hint="eastAsia" w:ascii="仿宋_GB2312" w:hAnsi="仿宋_GB2312" w:eastAsia="仿宋_GB2312" w:cs="仿宋_GB2312"/>
                <w:b/>
                <w:bCs/>
                <w:kern w:val="0"/>
                <w:sz w:val="24"/>
                <w:szCs w:val="24"/>
                <w:lang w:eastAsia="zh-Hans"/>
              </w:rPr>
              <w:t>产教融合背景下软件技术专业课程思政改革探索与实践</w:t>
            </w:r>
            <w:r>
              <w:rPr>
                <w:rFonts w:hint="eastAsia" w:ascii="仿宋_GB2312" w:hAnsi="仿宋_GB2312" w:eastAsia="仿宋_GB2312" w:cs="仿宋_GB2312"/>
                <w:kern w:val="0"/>
                <w:sz w:val="24"/>
                <w:szCs w:val="24"/>
                <w:lang w:eastAsia="zh-Hans"/>
              </w:rPr>
              <w:t>》</w:t>
            </w:r>
            <w:r>
              <w:rPr>
                <w:rFonts w:hint="eastAsia" w:ascii="仿宋_GB2312" w:hAnsi="仿宋_GB2312" w:eastAsia="仿宋_GB2312" w:cs="仿宋_GB2312"/>
                <w:kern w:val="0"/>
                <w:sz w:val="24"/>
                <w:szCs w:val="24"/>
              </w:rPr>
              <w:t>，该课题支持了《项目管理》等5门课程思政资源的开发建设，经费6万（</w:t>
            </w:r>
            <w:r>
              <w:rPr>
                <w:rFonts w:hint="eastAsia" w:ascii="仿宋_GB2312" w:hAnsi="仿宋_GB2312" w:eastAsia="仿宋_GB2312" w:cs="仿宋_GB2312"/>
                <w:kern w:val="0"/>
                <w:sz w:val="24"/>
                <w:szCs w:val="24"/>
                <w:lang w:eastAsia="zh-Hans"/>
              </w:rPr>
              <w:t>2020年</w:t>
            </w:r>
            <w:r>
              <w:rPr>
                <w:rFonts w:hint="eastAsia" w:ascii="仿宋_GB2312" w:hAnsi="仿宋_GB2312" w:eastAsia="仿宋_GB2312" w:cs="仿宋_GB2312"/>
                <w:kern w:val="0"/>
                <w:sz w:val="24"/>
                <w:szCs w:val="24"/>
              </w:rPr>
              <w:t>立项）。</w:t>
            </w:r>
          </w:p>
          <w:p>
            <w:pPr>
              <w:pStyle w:val="2"/>
              <w:spacing w:after="240"/>
              <w:ind w:firstLine="480" w:firstLineChars="200"/>
              <w:rPr>
                <w:lang w:eastAsia="zh-Hans"/>
              </w:rPr>
            </w:pPr>
            <w:r>
              <w:rPr>
                <w:rFonts w:hint="eastAsia" w:ascii="仿宋_GB2312" w:hAnsi="仿宋_GB2312" w:eastAsia="仿宋_GB2312" w:cs="仿宋_GB2312"/>
                <w:kern w:val="0"/>
                <w:sz w:val="24"/>
                <w:szCs w:val="24"/>
              </w:rPr>
              <w:t>（8）参加课程思政培训与研讨活动。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7" w:hRule="atLeast"/>
        </w:trPr>
        <w:tc>
          <w:tcPr>
            <w:tcW w:w="1530" w:type="dxa"/>
            <w:vAlign w:val="center"/>
          </w:tcPr>
          <w:p>
            <w:pPr>
              <w:spacing w:line="340" w:lineRule="exact"/>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获得的课程思政相关奖励情况</w:t>
            </w:r>
          </w:p>
        </w:tc>
        <w:tc>
          <w:tcPr>
            <w:tcW w:w="6986" w:type="dxa"/>
            <w:gridSpan w:val="3"/>
          </w:tcPr>
          <w:p>
            <w:pPr>
              <w:pStyle w:val="2"/>
              <w:spacing w:after="240"/>
              <w:ind w:firstLineChars="200"/>
              <w:rPr>
                <w:rFonts w:ascii="仿宋_GB2312" w:hAnsi="仿宋_GB2312" w:eastAsia="仿宋_GB2312" w:cs="仿宋_GB2312"/>
                <w:kern w:val="0"/>
                <w:sz w:val="24"/>
                <w:szCs w:val="24"/>
              </w:rPr>
            </w:pPr>
            <w:r>
              <w:rPr>
                <w:rFonts w:hint="eastAsia"/>
              </w:rPr>
              <w:t>（描述本人获得的省级以上课程思政相关奖励情况）</w:t>
            </w:r>
          </w:p>
          <w:p>
            <w:pPr>
              <w:numPr>
                <w:ilvl w:val="0"/>
                <w:numId w:val="3"/>
              </w:numPr>
              <w:spacing w:after="120"/>
              <w:ind w:firstLine="480" w:firstLineChars="200"/>
              <w:rPr>
                <w:rFonts w:ascii="仿宋_GB2312" w:hAnsi="仿宋_GB2312" w:eastAsia="仿宋_GB2312" w:cs="仿宋_GB2312"/>
                <w:kern w:val="0"/>
                <w:sz w:val="24"/>
                <w:szCs w:val="24"/>
                <w:lang w:eastAsia="zh-Hans"/>
              </w:rPr>
            </w:pPr>
            <w:r>
              <w:rPr>
                <w:rFonts w:ascii="仿宋_GB2312" w:hAnsi="仿宋_GB2312" w:eastAsia="仿宋_GB2312" w:cs="仿宋_GB2312"/>
                <w:kern w:val="0"/>
                <w:sz w:val="24"/>
                <w:szCs w:val="24"/>
                <w:lang w:eastAsia="zh-Hans"/>
              </w:rPr>
              <w:t>广东省“</w:t>
            </w:r>
            <w:r>
              <w:rPr>
                <w:rFonts w:ascii="仿宋_GB2312" w:hAnsi="仿宋_GB2312" w:eastAsia="仿宋_GB2312" w:cs="仿宋_GB2312"/>
                <w:b/>
                <w:bCs/>
                <w:kern w:val="0"/>
                <w:sz w:val="24"/>
                <w:szCs w:val="24"/>
                <w:lang w:eastAsia="zh-Hans"/>
              </w:rPr>
              <w:t>南粤优秀教师</w:t>
            </w:r>
            <w:r>
              <w:rPr>
                <w:rFonts w:ascii="仿宋_GB2312" w:hAnsi="仿宋_GB2312" w:eastAsia="仿宋_GB2312" w:cs="仿宋_GB2312"/>
                <w:kern w:val="0"/>
                <w:sz w:val="24"/>
                <w:szCs w:val="24"/>
                <w:lang w:eastAsia="zh-Hans"/>
              </w:rPr>
              <w:t>”（2004）。</w:t>
            </w:r>
          </w:p>
          <w:p>
            <w:pPr>
              <w:numPr>
                <w:ilvl w:val="0"/>
                <w:numId w:val="3"/>
              </w:numPr>
              <w:spacing w:after="120"/>
              <w:ind w:firstLine="480" w:firstLineChars="200"/>
              <w:rPr>
                <w:rFonts w:ascii="仿宋_GB2312" w:hAnsi="仿宋_GB2312" w:eastAsia="仿宋_GB2312" w:cs="仿宋_GB2312"/>
                <w:kern w:val="0"/>
                <w:sz w:val="24"/>
                <w:szCs w:val="24"/>
                <w:lang w:eastAsia="zh-Hans"/>
              </w:rPr>
            </w:pPr>
            <w:r>
              <w:rPr>
                <w:rFonts w:ascii="仿宋_GB2312" w:hAnsi="仿宋_GB2312" w:eastAsia="仿宋_GB2312" w:cs="仿宋_GB2312"/>
                <w:kern w:val="0"/>
                <w:sz w:val="24"/>
                <w:szCs w:val="24"/>
                <w:lang w:eastAsia="zh-Hans"/>
              </w:rPr>
              <w:t>广东省科协直属机关排头兵实践活动“</w:t>
            </w:r>
            <w:r>
              <w:rPr>
                <w:rFonts w:ascii="仿宋_GB2312" w:hAnsi="仿宋_GB2312" w:eastAsia="仿宋_GB2312" w:cs="仿宋_GB2312"/>
                <w:b/>
                <w:bCs/>
                <w:kern w:val="0"/>
                <w:sz w:val="24"/>
                <w:szCs w:val="24"/>
                <w:lang w:eastAsia="zh-Hans"/>
              </w:rPr>
              <w:t>岗位排头兵</w:t>
            </w:r>
            <w:r>
              <w:rPr>
                <w:rFonts w:ascii="仿宋_GB2312" w:hAnsi="仿宋_GB2312" w:eastAsia="仿宋_GB2312" w:cs="仿宋_GB2312"/>
                <w:kern w:val="0"/>
                <w:sz w:val="24"/>
                <w:szCs w:val="24"/>
                <w:lang w:eastAsia="zh-Hans"/>
              </w:rPr>
              <w:t>”(2007)。</w:t>
            </w:r>
          </w:p>
          <w:p>
            <w:pPr>
              <w:pStyle w:val="2"/>
              <w:ind w:firstLine="480" w:firstLineChars="200"/>
              <w:rPr>
                <w:rFonts w:ascii="仿宋_GB2312" w:hAnsi="仿宋_GB2312" w:eastAsia="仿宋_GB2312" w:cs="仿宋_GB2312"/>
                <w:kern w:val="0"/>
                <w:sz w:val="24"/>
                <w:szCs w:val="24"/>
                <w:lang w:eastAsia="zh-Hans"/>
              </w:rPr>
            </w:pPr>
            <w:r>
              <w:rPr>
                <w:rFonts w:ascii="仿宋_GB2312" w:hAnsi="仿宋_GB2312" w:eastAsia="仿宋_GB2312" w:cs="仿宋_GB2312"/>
                <w:kern w:val="0"/>
                <w:sz w:val="24"/>
                <w:szCs w:val="24"/>
                <w:lang w:eastAsia="zh-Hans"/>
              </w:rPr>
              <w:t>校级教学奖励：获校级教学优秀奖一等奖（2005、2008）、 校级优秀教师（2003）、校级优秀教育工作者（2011、2018)</w:t>
            </w:r>
            <w:r>
              <w:rPr>
                <w:rFonts w:hint="eastAsia" w:ascii="仿宋_GB2312" w:hAnsi="仿宋_GB2312" w:eastAsia="仿宋_GB2312" w:cs="仿宋_GB2312"/>
                <w:kern w:val="0"/>
                <w:sz w:val="24"/>
                <w:szCs w:val="24"/>
              </w:rPr>
              <w:t>等</w:t>
            </w:r>
            <w:r>
              <w:rPr>
                <w:rFonts w:ascii="仿宋_GB2312" w:hAnsi="仿宋_GB2312" w:eastAsia="仿宋_GB2312" w:cs="仿宋_GB2312"/>
                <w:kern w:val="0"/>
                <w:sz w:val="24"/>
                <w:szCs w:val="24"/>
                <w:lang w:eastAsia="zh-Hans"/>
              </w:rPr>
              <w:t>。</w:t>
            </w:r>
          </w:p>
          <w:p>
            <w:pPr>
              <w:pStyle w:val="2"/>
              <w:ind w:firstLine="240"/>
              <w:rPr>
                <w:rFonts w:ascii="仿宋_GB2312" w:hAnsi="仿宋_GB2312" w:eastAsia="仿宋_GB2312" w:cs="仿宋_GB2312"/>
                <w:kern w:val="0"/>
                <w:sz w:val="24"/>
                <w:szCs w:val="24"/>
                <w:lang w:eastAsia="zh-Hans"/>
              </w:rPr>
            </w:pPr>
          </w:p>
        </w:tc>
      </w:tr>
    </w:tbl>
    <w:p>
      <w:pPr>
        <w:spacing w:line="340" w:lineRule="atLeast"/>
        <w:rPr>
          <w:rFonts w:ascii="黑体" w:hAnsi="黑体" w:eastAsia="黑体" w:cs="黑体"/>
          <w:sz w:val="24"/>
          <w:szCs w:val="24"/>
        </w:rPr>
      </w:pPr>
    </w:p>
    <w:p>
      <w:pPr>
        <w:spacing w:line="340" w:lineRule="atLeast"/>
        <w:rPr>
          <w:rFonts w:ascii="黑体" w:hAnsi="黑体" w:eastAsia="黑体" w:cs="黑体"/>
          <w:sz w:val="24"/>
          <w:szCs w:val="24"/>
        </w:rPr>
      </w:pPr>
    </w:p>
    <w:p>
      <w:pPr>
        <w:spacing w:line="340" w:lineRule="atLeast"/>
        <w:rPr>
          <w:rFonts w:ascii="黑体" w:hAnsi="黑体" w:eastAsia="黑体" w:cs="黑体"/>
          <w:sz w:val="24"/>
          <w:szCs w:val="24"/>
          <w:lang w:eastAsia="zh-Hans"/>
        </w:rPr>
      </w:pPr>
      <w:r>
        <w:rPr>
          <w:rFonts w:hint="eastAsia" w:ascii="黑体" w:hAnsi="黑体" w:eastAsia="黑体" w:cs="黑体"/>
          <w:sz w:val="24"/>
          <w:szCs w:val="24"/>
        </w:rPr>
        <w:t>三、建设成效</w:t>
      </w:r>
    </w:p>
    <w:tbl>
      <w:tblPr>
        <w:tblStyle w:val="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6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3" w:hRule="atLeast"/>
        </w:trPr>
        <w:tc>
          <w:tcPr>
            <w:tcW w:w="2167" w:type="dxa"/>
            <w:vAlign w:val="center"/>
          </w:tcPr>
          <w:p>
            <w:pPr>
              <w:spacing w:line="340" w:lineRule="exact"/>
              <w:jc w:val="center"/>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创新课程思政建设模式</w:t>
            </w:r>
          </w:p>
        </w:tc>
        <w:tc>
          <w:tcPr>
            <w:tcW w:w="6353" w:type="dxa"/>
          </w:tcPr>
          <w:p>
            <w:pPr>
              <w:snapToGrid w:val="0"/>
              <w:spacing w:before="156" w:beforeLines="50" w:after="156" w:afterLines="50" w:line="340" w:lineRule="exact"/>
              <w:ind w:firstLine="482" w:firstLineChars="200"/>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1.结合专业人才培养特色，深化课程思政模式设计</w:t>
            </w:r>
          </w:p>
          <w:p>
            <w:pPr>
              <w:snapToGrid w:val="0"/>
              <w:spacing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r>
              <w:rPr>
                <w:rFonts w:hint="eastAsia" w:ascii="仿宋_GB2312" w:hAnsi="仿宋_GB2312" w:eastAsia="仿宋_GB2312" w:cs="仿宋_GB2312"/>
                <w:b/>
                <w:bCs/>
                <w:kern w:val="0"/>
                <w:sz w:val="24"/>
                <w:szCs w:val="24"/>
              </w:rPr>
              <w:t>坚持价值引领导向，靶定课程高度。</w:t>
            </w:r>
            <w:r>
              <w:rPr>
                <w:rFonts w:hint="eastAsia" w:ascii="仿宋_GB2312" w:hAnsi="仿宋_GB2312" w:eastAsia="仿宋_GB2312" w:cs="仿宋_GB2312"/>
                <w:kern w:val="0"/>
                <w:sz w:val="24"/>
                <w:szCs w:val="24"/>
              </w:rPr>
              <w:t>将理想信念教育、社会主义核心价值观教育、中华优秀传统文化等元素融入课程的讲授中，培养学生的爱国情感和实事求是、尊重自然规律的科学态度，养成勇于克服困难的精神，树立正确人生观、世界观及价值观。</w:t>
            </w:r>
          </w:p>
          <w:p>
            <w:pPr>
              <w:snapToGrid w:val="0"/>
              <w:spacing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r>
              <w:rPr>
                <w:rFonts w:hint="eastAsia" w:ascii="仿宋_GB2312" w:hAnsi="仿宋_GB2312" w:eastAsia="仿宋_GB2312" w:cs="仿宋_GB2312"/>
                <w:b/>
                <w:bCs/>
                <w:kern w:val="0"/>
                <w:sz w:val="24"/>
                <w:szCs w:val="24"/>
              </w:rPr>
              <w:t>坚持技能传授导向，锚定课程方向。</w:t>
            </w:r>
            <w:r>
              <w:rPr>
                <w:rFonts w:hint="eastAsia" w:ascii="仿宋_GB2312" w:hAnsi="仿宋_GB2312" w:eastAsia="仿宋_GB2312" w:cs="仿宋_GB2312"/>
                <w:kern w:val="0"/>
                <w:sz w:val="24"/>
                <w:szCs w:val="24"/>
              </w:rPr>
              <w:t>课程结合中国IT梦和新一代信息技术等国家战略性新兴产业发展，积极创新教育形式、丰富教育内容，将更多的新时代中国元素嵌入到课堂教学中。帮助学生通过线上和线下并行项目的学习，能正确理解和掌握项目管理的流程，了解通用项目、典型行业项目实施过程的基本知识和项目过程的各种文档，提升项目掌控能力和执行力，增强学生的团队意识和合作精神。</w:t>
            </w:r>
          </w:p>
          <w:p>
            <w:pPr>
              <w:snapToGrid w:val="0"/>
              <w:spacing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w:t>
            </w:r>
            <w:r>
              <w:rPr>
                <w:rFonts w:hint="eastAsia" w:ascii="仿宋_GB2312" w:hAnsi="仿宋_GB2312" w:eastAsia="仿宋_GB2312" w:cs="仿宋_GB2312"/>
                <w:b/>
                <w:bCs/>
                <w:kern w:val="0"/>
                <w:sz w:val="24"/>
                <w:szCs w:val="24"/>
              </w:rPr>
              <w:t>坚持素质培养导向，夯实课程内容。</w:t>
            </w:r>
            <w:r>
              <w:rPr>
                <w:rFonts w:hint="eastAsia" w:ascii="仿宋_GB2312" w:hAnsi="仿宋_GB2312" w:eastAsia="仿宋_GB2312" w:cs="仿宋_GB2312"/>
                <w:kern w:val="0"/>
                <w:sz w:val="24"/>
                <w:szCs w:val="24"/>
              </w:rPr>
              <w:t>通过模拟现实的项目工作环境，让学生实践了解当前典型行业对于项目管理方面的真实需求，逐步提升学生的实践应用知识与技能。课堂上，充分挖掘工匠精神的内涵，引导学生树立诚实守信、严谨负责、注重细节、精益求精的职业操守；课堂外，走进校企合作企业，引导学生从实践中寻找答案，以调动学生的学习兴趣，开发学生的思维潜能。</w:t>
            </w:r>
          </w:p>
          <w:p>
            <w:pPr>
              <w:widowControl/>
              <w:snapToGrid w:val="0"/>
              <w:spacing w:before="156" w:beforeLines="50" w:after="156" w:afterLines="50" w:line="340" w:lineRule="exact"/>
              <w:ind w:firstLine="482" w:firstLineChars="200"/>
              <w:jc w:val="left"/>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2.应用目标资源导向模式，强化课程思政教学</w:t>
            </w:r>
          </w:p>
          <w:p>
            <w:pPr>
              <w:widowControl/>
              <w:jc w:val="left"/>
            </w:pPr>
            <w:r>
              <w:rPr>
                <w:rFonts w:ascii="宋体" w:hAnsi="宋体" w:cs="宋体"/>
                <w:kern w:val="0"/>
                <w:sz w:val="24"/>
                <w:szCs w:val="24"/>
              </w:rPr>
              <w:drawing>
                <wp:inline distT="0" distB="0" distL="0" distR="0">
                  <wp:extent cx="3898900" cy="3289300"/>
                  <wp:effectExtent l="0" t="0" r="6350" b="6350"/>
                  <wp:docPr id="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898900" cy="3289300"/>
                          </a:xfrm>
                          <a:prstGeom prst="rect">
                            <a:avLst/>
                          </a:prstGeom>
                          <a:noFill/>
                          <a:ln>
                            <a:noFill/>
                          </a:ln>
                        </pic:spPr>
                      </pic:pic>
                    </a:graphicData>
                  </a:graphic>
                </wp:inline>
              </w:drawing>
            </w:r>
          </w:p>
          <w:p>
            <w:pPr>
              <w:widowControl/>
              <w:jc w:val="left"/>
              <w:rPr>
                <w:rFonts w:ascii="宋体" w:hAnsi="宋体" w:cs="宋体"/>
                <w:kern w:val="0"/>
                <w:sz w:val="24"/>
                <w:szCs w:val="24"/>
                <w:lang w:bidi="ar"/>
              </w:rPr>
            </w:pPr>
          </w:p>
          <w:p>
            <w:pPr>
              <w:pStyle w:val="4"/>
              <w:jc w:val="center"/>
              <w:rPr>
                <w:rFonts w:eastAsia="宋体"/>
              </w:rPr>
            </w:pPr>
            <w:r>
              <w:t xml:space="preserve">图 </w:t>
            </w:r>
            <w:r>
              <w:rPr>
                <w:rFonts w:hint="eastAsia"/>
              </w:rPr>
              <w:t>2 课程思政资源制作、资源应用模式</w:t>
            </w:r>
          </w:p>
          <w:p>
            <w:pPr>
              <w:widowControl/>
              <w:snapToGrid w:val="0"/>
              <w:spacing w:before="156" w:beforeLines="50" w:line="340" w:lineRule="exact"/>
              <w:ind w:firstLine="482" w:firstLineChars="200"/>
              <w:jc w:val="left"/>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（1）目标导向模式</w:t>
            </w:r>
            <w:r>
              <w:rPr>
                <w:rFonts w:hint="eastAsia" w:ascii="仿宋_GB2312" w:hAnsi="仿宋_GB2312" w:eastAsia="仿宋_GB2312" w:cs="仿宋_GB2312"/>
                <w:kern w:val="0"/>
                <w:sz w:val="24"/>
                <w:szCs w:val="24"/>
              </w:rPr>
              <w:t>，聚焦各知识点技能点的思政设计及应用</w:t>
            </w:r>
          </w:p>
          <w:p>
            <w:pPr>
              <w:snapToGrid w:val="0"/>
              <w:spacing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第一，分析专业与思政目标，挖掘思政元素： 分析本课专业技能目标与思政目标。可以从专业认同、职业伦理、社会责任，社会主义核心价值观以及中华优秀传统文化教育等方面挖掘课程思政的元素。</w:t>
            </w:r>
          </w:p>
          <w:p>
            <w:pPr>
              <w:snapToGrid w:val="0"/>
              <w:spacing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第二，寻找思政内容与专业内容的结合点。</w:t>
            </w:r>
          </w:p>
          <w:p>
            <w:pPr>
              <w:snapToGrid w:val="0"/>
              <w:spacing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第三，梳理思政元素，设计呈现方式，选择资源类型。</w:t>
            </w:r>
          </w:p>
          <w:p>
            <w:pPr>
              <w:snapToGrid w:val="0"/>
              <w:spacing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第四，制作或收集思政元素相关资源，包括图片、视频、案例等。</w:t>
            </w:r>
          </w:p>
          <w:p>
            <w:pPr>
              <w:pStyle w:val="2"/>
              <w:ind w:firstLine="240"/>
              <w:rPr>
                <w:rFonts w:eastAsia="仿宋_GB2312"/>
              </w:rPr>
            </w:pPr>
            <w:r>
              <w:rPr>
                <w:rFonts w:hint="eastAsia" w:ascii="仿宋_GB2312" w:hAnsi="仿宋_GB2312" w:eastAsia="仿宋_GB2312" w:cs="仿宋_GB2312"/>
                <w:kern w:val="0"/>
                <w:sz w:val="24"/>
                <w:szCs w:val="24"/>
              </w:rPr>
              <w:t xml:space="preserve">  第五，教学实施：在课前引导、课中主讲、自由讨论等环节应用思政教育资源。</w:t>
            </w:r>
          </w:p>
          <w:p>
            <w:pPr>
              <w:widowControl/>
              <w:snapToGrid w:val="0"/>
              <w:spacing w:before="156" w:beforeLines="50" w:line="340" w:lineRule="exact"/>
              <w:ind w:firstLine="482" w:firstLineChars="200"/>
              <w:jc w:val="left"/>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（2）资源导向模式</w:t>
            </w:r>
            <w:r>
              <w:rPr>
                <w:rFonts w:hint="eastAsia" w:ascii="仿宋_GB2312" w:hAnsi="仿宋_GB2312" w:eastAsia="仿宋_GB2312" w:cs="仿宋_GB2312"/>
                <w:kern w:val="0"/>
                <w:sz w:val="24"/>
                <w:szCs w:val="24"/>
              </w:rPr>
              <w:t>，聚焦课程思政资源的应用</w:t>
            </w:r>
          </w:p>
          <w:p>
            <w:pPr>
              <w:snapToGrid w:val="0"/>
              <w:spacing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第一，从资料库挖掘课程思政元素，例如三种来源： ①从专业知识点中总结提炼思政元素。 ②查找思政元素库中的思政元素，规划嵌入专业知识点。  ③从名企名匠、国家大事等案例中挖掘提炼出思政元素。</w:t>
            </w:r>
          </w:p>
          <w:p>
            <w:pPr>
              <w:snapToGrid w:val="0"/>
              <w:spacing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第二，制作或收集思政元素相应的课程思政资源。</w:t>
            </w:r>
          </w:p>
          <w:p>
            <w:pPr>
              <w:snapToGrid w:val="0"/>
              <w:spacing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第三，选取融入节点：在各教学内容、教学环节选取课程思政内容融入的节点。</w:t>
            </w:r>
          </w:p>
          <w:p>
            <w:pPr>
              <w:snapToGrid w:val="0"/>
              <w:spacing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第四，设计合适的呈现方式。</w:t>
            </w:r>
          </w:p>
          <w:p>
            <w:pPr>
              <w:snapToGrid w:val="0"/>
              <w:spacing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第五，教学实施：在课前引导、课中主讲、自由讨论等环节应用思政教育资源。</w:t>
            </w:r>
          </w:p>
          <w:p>
            <w:pPr>
              <w:snapToGrid w:val="0"/>
              <w:spacing w:line="340" w:lineRule="exact"/>
              <w:rPr>
                <w:rFonts w:ascii="仿宋_GB2312" w:hAnsi="仿宋_GB2312" w:eastAsia="仿宋_GB2312" w:cs="仿宋_GB2312"/>
                <w:kern w:val="0"/>
                <w:sz w:val="24"/>
                <w:szCs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8" w:hRule="atLeast"/>
        </w:trPr>
        <w:tc>
          <w:tcPr>
            <w:tcW w:w="2167" w:type="dxa"/>
            <w:vAlign w:val="center"/>
          </w:tcPr>
          <w:p>
            <w:pPr>
              <w:spacing w:line="340" w:lineRule="exact"/>
              <w:jc w:val="center"/>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优化课程思政内容供给</w:t>
            </w:r>
          </w:p>
        </w:tc>
        <w:tc>
          <w:tcPr>
            <w:tcW w:w="6353" w:type="dxa"/>
          </w:tcPr>
          <w:p>
            <w:pPr>
              <w:widowControl/>
              <w:numPr>
                <w:ilvl w:val="0"/>
                <w:numId w:val="4"/>
              </w:numPr>
              <w:snapToGrid w:val="0"/>
              <w:spacing w:before="156" w:beforeLines="50" w:after="156" w:afterLines="50" w:line="340" w:lineRule="exact"/>
              <w:ind w:firstLine="480" w:firstLineChars="200"/>
              <w:jc w:val="left"/>
              <w:rPr>
                <w:rFonts w:ascii="宋体" w:hAnsi="宋体" w:cs="宋体"/>
                <w:kern w:val="0"/>
                <w:sz w:val="24"/>
                <w:szCs w:val="24"/>
                <w:lang w:bidi="ar"/>
              </w:rPr>
            </w:pPr>
            <w:r>
              <w:rPr>
                <w:rFonts w:ascii="宋体" w:hAnsi="宋体" w:cs="宋体"/>
                <w:kern w:val="0"/>
                <w:sz w:val="24"/>
                <w:szCs w:val="24"/>
              </w:rPr>
              <w:drawing>
                <wp:anchor distT="0" distB="0" distL="114935" distR="114935" simplePos="0" relativeHeight="251671552" behindDoc="0" locked="0" layoutInCell="1" allowOverlap="1">
                  <wp:simplePos x="0" y="0"/>
                  <wp:positionH relativeFrom="column">
                    <wp:posOffset>182880</wp:posOffset>
                  </wp:positionH>
                  <wp:positionV relativeFrom="paragraph">
                    <wp:posOffset>507365</wp:posOffset>
                  </wp:positionV>
                  <wp:extent cx="3542665" cy="3124835"/>
                  <wp:effectExtent l="0" t="0" r="635" b="12065"/>
                  <wp:wrapTopAndBottom/>
                  <wp:docPr id="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256"/>
                          <pic:cNvPicPr>
                            <a:picLocks noChangeAspect="1"/>
                          </pic:cNvPicPr>
                        </pic:nvPicPr>
                        <pic:blipFill>
                          <a:blip r:embed="rId10"/>
                          <a:stretch>
                            <a:fillRect/>
                          </a:stretch>
                        </pic:blipFill>
                        <pic:spPr>
                          <a:xfrm>
                            <a:off x="0" y="0"/>
                            <a:ext cx="3542665" cy="3124835"/>
                          </a:xfrm>
                          <a:prstGeom prst="rect">
                            <a:avLst/>
                          </a:prstGeom>
                          <a:noFill/>
                          <a:ln w="9525">
                            <a:noFill/>
                          </a:ln>
                        </pic:spPr>
                      </pic:pic>
                    </a:graphicData>
                  </a:graphic>
                </wp:anchor>
              </w:drawing>
            </w:r>
            <w:r>
              <w:rPr>
                <w:rFonts w:hint="eastAsia" w:ascii="仿宋_GB2312" w:hAnsi="仿宋_GB2312" w:eastAsia="仿宋_GB2312" w:cs="仿宋_GB2312"/>
                <w:b/>
                <w:bCs/>
                <w:kern w:val="0"/>
                <w:sz w:val="24"/>
                <w:szCs w:val="24"/>
              </w:rPr>
              <w:t>挖掘课程思政元素，深化课程思政目标</w:t>
            </w:r>
          </w:p>
          <w:p>
            <w:pPr>
              <w:pStyle w:val="4"/>
              <w:spacing w:before="156" w:beforeLines="50"/>
              <w:jc w:val="center"/>
              <w:rPr>
                <w:rFonts w:eastAsia="宋体"/>
              </w:rPr>
            </w:pPr>
            <w:r>
              <w:t xml:space="preserve">图 </w:t>
            </w:r>
            <w:r>
              <w:rPr>
                <w:rFonts w:hint="eastAsia"/>
              </w:rPr>
              <w:t>3  结合教学项目规划课程思政目标</w:t>
            </w:r>
          </w:p>
          <w:p>
            <w:pPr>
              <w:widowControl/>
              <w:jc w:val="left"/>
            </w:pPr>
          </w:p>
          <w:p>
            <w:pPr>
              <w:snapToGrid w:val="0"/>
              <w:spacing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在课程目标融入16项思政元素:</w:t>
            </w:r>
          </w:p>
          <w:p>
            <w:pPr>
              <w:snapToGrid w:val="0"/>
              <w:spacing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（1）将理想信念教育、社会主义核心价值观教育、中华优秀传统文化等方面元素融入课程的讲授中。</w:t>
            </w:r>
          </w:p>
          <w:p>
            <w:pPr>
              <w:snapToGrid w:val="0"/>
              <w:spacing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（2）课程结合中国IT梦和国家战略性新兴产业新一代信息技术，将更多的新时代中国元素嵌入到课堂教学中。</w:t>
            </w:r>
          </w:p>
          <w:p>
            <w:pPr>
              <w:snapToGrid w:val="0"/>
              <w:spacing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（3）帮助学生通过线上和线下并行项目的学习，能正确理解和掌握项目管理的流程，提升项目掌控能力和执行力，增强学生的团队意识和合作精神。</w:t>
            </w:r>
          </w:p>
          <w:p>
            <w:pPr>
              <w:snapToGrid w:val="0"/>
              <w:spacing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（4）充分挖掘工匠精神的内涵，引导学生树立诚实守信、严谨负责、注重细节、精益求精的职业操守。</w:t>
            </w:r>
          </w:p>
          <w:p>
            <w:pPr>
              <w:numPr>
                <w:ilvl w:val="0"/>
                <w:numId w:val="4"/>
              </w:numPr>
              <w:snapToGrid w:val="0"/>
              <w:spacing w:before="156" w:beforeLines="50" w:after="156" w:afterLines="50" w:line="340" w:lineRule="exact"/>
              <w:ind w:firstLine="482" w:firstLineChars="200"/>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开发课程思政教育资源，夯实课程思政内容</w:t>
            </w:r>
          </w:p>
          <w:p>
            <w:pPr>
              <w:pStyle w:val="2"/>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（1）分析项目启动、项目范围、任务分解、团队分工、进度管理、质量管理、成本管理、风险管理、项目执行控制、项目总结验收等知识技能模块教学内容，编制或收集</w:t>
            </w:r>
            <w:r>
              <w:rPr>
                <w:rFonts w:hint="eastAsia" w:ascii="仿宋_GB2312" w:hAnsi="仿宋_GB2312" w:eastAsia="仿宋_GB2312" w:cs="仿宋_GB2312"/>
                <w:b/>
                <w:bCs/>
                <w:kern w:val="0"/>
                <w:sz w:val="24"/>
                <w:szCs w:val="24"/>
              </w:rPr>
              <w:t>武汉方舱医院、小米团队、王法鉴才、中国高铁、熊猫烧香病毒、两弹一星、中国探月、渡江战役、中国代工厂、华为应对风险、全国扶贫攻坚等</w:t>
            </w:r>
            <w:r>
              <w:rPr>
                <w:rFonts w:hint="eastAsia" w:ascii="仿宋_GB2312" w:hAnsi="仿宋_GB2312" w:eastAsia="仿宋_GB2312" w:cs="仿宋_GB2312"/>
                <w:kern w:val="0"/>
                <w:sz w:val="24"/>
                <w:szCs w:val="24"/>
              </w:rPr>
              <w:t>16篇项目案例，培养学生热爱祖国、热爱人民、大局意识、责任担当、科技报国、团队协作精神、廉洁守法、诚信品质、工匠精神、奉献精神、创新意识、忧患意识、坚韧不拔、自强不息等优秀品质。</w:t>
            </w:r>
          </w:p>
          <w:p>
            <w:pPr>
              <w:pStyle w:val="2"/>
              <w:ind w:firstLine="0" w:firstLineChars="0"/>
              <w:jc w:val="center"/>
              <w:rPr>
                <w:rFonts w:ascii="仿宋_GB2312" w:hAnsi="仿宋_GB2312" w:eastAsia="仿宋_GB2312" w:cs="仿宋_GB2312"/>
                <w:kern w:val="0"/>
                <w:sz w:val="24"/>
                <w:szCs w:val="24"/>
              </w:rPr>
            </w:pPr>
            <w:r>
              <w:rPr>
                <w:rFonts w:ascii="仿宋_GB2312" w:hAnsi="仿宋_GB2312" w:eastAsia="仿宋_GB2312" w:cs="仿宋_GB2312"/>
                <w:kern w:val="0"/>
                <w:sz w:val="24"/>
                <w:szCs w:val="24"/>
              </w:rPr>
              <w:drawing>
                <wp:inline distT="0" distB="0" distL="0" distR="0">
                  <wp:extent cx="3429000" cy="2006600"/>
                  <wp:effectExtent l="0" t="0" r="0"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429000" cy="2006600"/>
                          </a:xfrm>
                          <a:prstGeom prst="rect">
                            <a:avLst/>
                          </a:prstGeom>
                          <a:noFill/>
                          <a:ln>
                            <a:noFill/>
                          </a:ln>
                          <a:effectLst/>
                        </pic:spPr>
                      </pic:pic>
                    </a:graphicData>
                  </a:graphic>
                </wp:inline>
              </w:drawing>
            </w:r>
          </w:p>
          <w:p>
            <w:pPr>
              <w:pStyle w:val="4"/>
              <w:jc w:val="center"/>
            </w:pPr>
            <w:r>
              <w:t>图</w:t>
            </w:r>
            <w:r>
              <w:rPr>
                <w:rFonts w:hint="eastAsia"/>
              </w:rPr>
              <w:t>4  结合教学项目制作或采集思政案例</w:t>
            </w:r>
          </w:p>
          <w:p/>
          <w:p>
            <w:pPr>
              <w:pStyle w:val="2"/>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（2）编写8篇</w:t>
            </w:r>
            <w:r>
              <w:rPr>
                <w:rFonts w:hint="eastAsia" w:ascii="仿宋_GB2312" w:hAnsi="仿宋_GB2312" w:eastAsia="仿宋_GB2312" w:cs="仿宋_GB2312"/>
                <w:b/>
                <w:bCs/>
                <w:kern w:val="0"/>
                <w:sz w:val="24"/>
                <w:szCs w:val="24"/>
              </w:rPr>
              <w:t>教师指引</w:t>
            </w:r>
            <w:r>
              <w:rPr>
                <w:rFonts w:hint="eastAsia" w:ascii="仿宋_GB2312" w:hAnsi="仿宋_GB2312" w:eastAsia="仿宋_GB2312" w:cs="仿宋_GB2312"/>
                <w:kern w:val="0"/>
                <w:sz w:val="24"/>
                <w:szCs w:val="24"/>
              </w:rPr>
              <w:t>，有效辅助教师把握思政教育结合点、改善教学方法。</w:t>
            </w:r>
          </w:p>
          <w:p>
            <w:pPr>
              <w:pStyle w:val="2"/>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（3）制作大学生学习规划项目等</w:t>
            </w:r>
            <w:r>
              <w:rPr>
                <w:rFonts w:hint="eastAsia" w:ascii="仿宋_GB2312" w:hAnsi="仿宋_GB2312" w:eastAsia="仿宋_GB2312" w:cs="仿宋_GB2312"/>
                <w:b/>
                <w:bCs/>
                <w:kern w:val="0"/>
                <w:sz w:val="24"/>
                <w:szCs w:val="24"/>
              </w:rPr>
              <w:t>视频</w:t>
            </w:r>
            <w:r>
              <w:rPr>
                <w:rFonts w:hint="eastAsia" w:ascii="仿宋_GB2312" w:hAnsi="仿宋_GB2312" w:eastAsia="仿宋_GB2312" w:cs="仿宋_GB2312"/>
                <w:kern w:val="0"/>
                <w:sz w:val="24"/>
                <w:szCs w:val="24"/>
              </w:rPr>
              <w:t>，收集一批图片、数据，辅助教师教学。</w:t>
            </w:r>
          </w:p>
          <w:p>
            <w:pPr>
              <w:pStyle w:val="2"/>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构建知识库，围绕质量管理、风险管理、项目总结验收等知识技能模块，结合思政教育目标，采集大量项目实践经验文章、各学科理论知识文章，例如《崔蕴：火箭总装总测“把关人”》、《大型应急医院项目快速验收与移交对策》（火神山医院案例）、《人类减贫的中国实践》。</w:t>
            </w:r>
          </w:p>
          <w:p>
            <w:pPr>
              <w:numPr>
                <w:ilvl w:val="0"/>
                <w:numId w:val="4"/>
              </w:numPr>
              <w:snapToGrid w:val="0"/>
              <w:spacing w:before="156" w:beforeLines="50" w:after="156" w:afterLines="50" w:line="340" w:lineRule="exact"/>
              <w:ind w:firstLine="482" w:firstLineChars="200"/>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依托校企合作项目，实现课程思政育人</w:t>
            </w:r>
          </w:p>
          <w:p>
            <w:pPr>
              <w:widowControl/>
              <w:jc w:val="center"/>
            </w:pPr>
            <w:r>
              <w:rPr>
                <w:rFonts w:ascii="宋体" w:hAnsi="宋体" w:cs="宋体"/>
                <w:kern w:val="0"/>
                <w:sz w:val="24"/>
                <w:szCs w:val="24"/>
              </w:rPr>
              <w:drawing>
                <wp:inline distT="0" distB="0" distL="0" distR="0">
                  <wp:extent cx="2368550" cy="3054350"/>
                  <wp:effectExtent l="0" t="0" r="0" b="0"/>
                  <wp:docPr id="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368550" cy="3054350"/>
                          </a:xfrm>
                          <a:prstGeom prst="rect">
                            <a:avLst/>
                          </a:prstGeom>
                          <a:noFill/>
                          <a:ln>
                            <a:noFill/>
                          </a:ln>
                          <a:effectLst/>
                        </pic:spPr>
                      </pic:pic>
                    </a:graphicData>
                  </a:graphic>
                </wp:inline>
              </w:drawing>
            </w:r>
          </w:p>
          <w:p>
            <w:pPr>
              <w:pStyle w:val="4"/>
              <w:spacing w:before="156" w:beforeLines="50"/>
              <w:jc w:val="center"/>
            </w:pPr>
            <w:r>
              <w:t xml:space="preserve">图 </w:t>
            </w:r>
            <w:r>
              <w:rPr>
                <w:rFonts w:hint="eastAsia"/>
              </w:rPr>
              <w:t>5 开发企业与校园实践项目群</w:t>
            </w:r>
          </w:p>
          <w:p/>
          <w:p>
            <w:pPr>
              <w:pStyle w:val="2"/>
              <w:numPr>
                <w:ilvl w:val="0"/>
                <w:numId w:val="5"/>
              </w:numPr>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收集、分析</w:t>
            </w:r>
            <w:r>
              <w:rPr>
                <w:rFonts w:hint="eastAsia" w:ascii="仿宋_GB2312" w:hAnsi="仿宋_GB2312" w:eastAsia="仿宋_GB2312" w:cs="仿宋_GB2312"/>
                <w:b/>
                <w:bCs/>
                <w:kern w:val="0"/>
                <w:sz w:val="24"/>
                <w:szCs w:val="24"/>
              </w:rPr>
              <w:t>企业项目群、校园项目群</w:t>
            </w:r>
            <w:r>
              <w:rPr>
                <w:rFonts w:hint="eastAsia" w:ascii="仿宋_GB2312" w:hAnsi="仿宋_GB2312" w:eastAsia="仿宋_GB2312" w:cs="仿宋_GB2312"/>
                <w:kern w:val="0"/>
                <w:sz w:val="24"/>
                <w:szCs w:val="24"/>
              </w:rPr>
              <w:t>：企业外包项目、企业实习项目、企业考察项目、企业讲座项目、企业岗位模拟项目、社团招新项目、团日活动、技能大赛项目、个人考证项目等项目，都成为项目管理实践项目的来源。</w:t>
            </w:r>
          </w:p>
          <w:p>
            <w:pPr>
              <w:pStyle w:val="2"/>
              <w:numPr>
                <w:ilvl w:val="0"/>
                <w:numId w:val="5"/>
              </w:numPr>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在</w:t>
            </w:r>
            <w:r>
              <w:rPr>
                <w:rFonts w:hint="eastAsia" w:ascii="仿宋_GB2312" w:hAnsi="仿宋_GB2312" w:eastAsia="仿宋_GB2312" w:cs="仿宋_GB2312"/>
                <w:b/>
                <w:bCs/>
                <w:kern w:val="0"/>
                <w:sz w:val="24"/>
                <w:szCs w:val="24"/>
              </w:rPr>
              <w:t>项目指引</w:t>
            </w:r>
            <w:r>
              <w:rPr>
                <w:rFonts w:hint="eastAsia" w:ascii="仿宋_GB2312" w:hAnsi="仿宋_GB2312" w:eastAsia="仿宋_GB2312" w:cs="仿宋_GB2312"/>
                <w:kern w:val="0"/>
                <w:sz w:val="24"/>
                <w:szCs w:val="24"/>
              </w:rPr>
              <w:t>中，融入项目管理技能目标与课程思政目标： ①例如学校合作的蓝盾、红讯软件等校外实践基地，团队教师带领学生考察企业现场，感受先进科技与岗位情境，让学生参与考察项目策划提升项目管理能力，在考察交流过程中注重感受企业文化中科技报国、大国工匠等精神风貌。 ②而在外包项目、自主开发项目中，可以让学生在实际的责任担当中增强职业素质与社会主义核心价值观。</w:t>
            </w:r>
          </w:p>
          <w:p>
            <w:pPr>
              <w:pStyle w:val="2"/>
              <w:numPr>
                <w:ilvl w:val="0"/>
                <w:numId w:val="5"/>
              </w:numPr>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在</w:t>
            </w:r>
            <w:r>
              <w:rPr>
                <w:rFonts w:hint="eastAsia" w:ascii="仿宋_GB2312" w:hAnsi="仿宋_GB2312" w:eastAsia="仿宋_GB2312" w:cs="仿宋_GB2312"/>
                <w:b/>
                <w:bCs/>
                <w:kern w:val="0"/>
                <w:sz w:val="24"/>
                <w:szCs w:val="24"/>
              </w:rPr>
              <w:t>项目实践</w:t>
            </w:r>
            <w:r>
              <w:rPr>
                <w:rFonts w:hint="eastAsia" w:ascii="仿宋_GB2312" w:hAnsi="仿宋_GB2312" w:eastAsia="仿宋_GB2312" w:cs="仿宋_GB2312"/>
                <w:kern w:val="0"/>
                <w:sz w:val="24"/>
                <w:szCs w:val="24"/>
              </w:rPr>
              <w:t>中，为学生提供项目管理技能方面的咨询辅导，也引导学生关注自身进步，例如关注社会培养了大局观，质量意识提升了，面对挫折的心态平稳了。</w:t>
            </w:r>
          </w:p>
          <w:p>
            <w:pPr>
              <w:pStyle w:val="2"/>
              <w:numPr>
                <w:ilvl w:val="0"/>
                <w:numId w:val="5"/>
              </w:numPr>
              <w:spacing w:after="240"/>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在</w:t>
            </w:r>
            <w:r>
              <w:rPr>
                <w:rFonts w:hint="eastAsia" w:ascii="仿宋_GB2312" w:hAnsi="仿宋_GB2312" w:eastAsia="仿宋_GB2312" w:cs="仿宋_GB2312"/>
                <w:b/>
                <w:bCs/>
                <w:kern w:val="0"/>
                <w:sz w:val="24"/>
                <w:szCs w:val="24"/>
              </w:rPr>
              <w:t>项目总结</w:t>
            </w:r>
            <w:r>
              <w:rPr>
                <w:rFonts w:hint="eastAsia" w:ascii="仿宋_GB2312" w:hAnsi="仿宋_GB2312" w:eastAsia="仿宋_GB2312" w:cs="仿宋_GB2312"/>
                <w:kern w:val="0"/>
                <w:sz w:val="24"/>
                <w:szCs w:val="24"/>
              </w:rPr>
              <w:t>中，引导学生多维度分析自己的提升情况：从专业技能角度、项目管理技能角度、课程思政教育效果等角度反思自己的收益和进步。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7" w:hRule="atLeast"/>
        </w:trPr>
        <w:tc>
          <w:tcPr>
            <w:tcW w:w="2167" w:type="dxa"/>
            <w:vAlign w:val="center"/>
          </w:tcPr>
          <w:p>
            <w:pPr>
              <w:spacing w:line="340" w:lineRule="exact"/>
              <w:jc w:val="center"/>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将思政教育有机融入课堂教学</w:t>
            </w:r>
          </w:p>
        </w:tc>
        <w:tc>
          <w:tcPr>
            <w:tcW w:w="6353" w:type="dxa"/>
          </w:tcPr>
          <w:p>
            <w:pPr>
              <w:snapToGrid w:val="0"/>
              <w:spacing w:before="156" w:beforeLines="50" w:after="156" w:afterLines="50" w:line="340" w:lineRule="exact"/>
              <w:ind w:firstLine="482" w:firstLineChars="200"/>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1.围绕教学目标内容，全面融入思政元素</w:t>
            </w:r>
          </w:p>
          <w:p>
            <w:pPr>
              <w:snapToGrid w:val="0"/>
              <w:spacing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（1）在</w:t>
            </w:r>
            <w:r>
              <w:rPr>
                <w:rFonts w:hint="eastAsia" w:ascii="仿宋_GB2312" w:hAnsi="仿宋_GB2312" w:eastAsia="仿宋_GB2312" w:cs="仿宋_GB2312"/>
                <w:b/>
                <w:bCs/>
                <w:kern w:val="0"/>
                <w:sz w:val="24"/>
                <w:szCs w:val="24"/>
              </w:rPr>
              <w:t>教学计划</w:t>
            </w:r>
            <w:r>
              <w:rPr>
                <w:rFonts w:hint="eastAsia" w:ascii="仿宋_GB2312" w:hAnsi="仿宋_GB2312" w:eastAsia="仿宋_GB2312" w:cs="仿宋_GB2312"/>
                <w:kern w:val="0"/>
                <w:sz w:val="24"/>
                <w:szCs w:val="24"/>
              </w:rPr>
              <w:t>中融入课程思政: 在教学目标中增加德育目标，培养学生具备坚定正确的政治方向和较高的政治素质，具有高度的社会责任感和工作责任心，以及良好的思想品德、社会公德和职业道德。</w:t>
            </w:r>
          </w:p>
          <w:p>
            <w:pPr>
              <w:snapToGrid w:val="0"/>
              <w:spacing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（2）在</w:t>
            </w:r>
            <w:r>
              <w:rPr>
                <w:rFonts w:hint="eastAsia" w:ascii="仿宋_GB2312" w:hAnsi="仿宋_GB2312" w:eastAsia="仿宋_GB2312" w:cs="仿宋_GB2312"/>
                <w:b/>
                <w:bCs/>
                <w:kern w:val="0"/>
                <w:sz w:val="24"/>
                <w:szCs w:val="24"/>
              </w:rPr>
              <w:t>教案</w:t>
            </w:r>
            <w:r>
              <w:rPr>
                <w:rFonts w:hint="eastAsia" w:ascii="仿宋_GB2312" w:hAnsi="仿宋_GB2312" w:eastAsia="仿宋_GB2312" w:cs="仿宋_GB2312"/>
                <w:kern w:val="0"/>
                <w:sz w:val="24"/>
                <w:szCs w:val="24"/>
              </w:rPr>
              <w:t>中融入课程思政: 教案是教学目标的具体实施方案，是教师的教学组织计划，教案中的教学方法和教学效果都要体现课程思政的内容，如以我国“嫦娥二号”故障预案作为案例，融入项目风险管理知识点，以此提升学生的国家安全意识，关注关系国家安全的战略产业。</w:t>
            </w:r>
          </w:p>
          <w:p>
            <w:pPr>
              <w:snapToGrid w:val="0"/>
              <w:spacing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（3）在</w:t>
            </w:r>
            <w:r>
              <w:rPr>
                <w:rFonts w:hint="eastAsia" w:ascii="仿宋_GB2312" w:hAnsi="仿宋_GB2312" w:eastAsia="仿宋_GB2312" w:cs="仿宋_GB2312"/>
                <w:b/>
                <w:bCs/>
                <w:kern w:val="0"/>
                <w:sz w:val="24"/>
                <w:szCs w:val="24"/>
              </w:rPr>
              <w:t>课堂教学</w:t>
            </w:r>
            <w:r>
              <w:rPr>
                <w:rFonts w:hint="eastAsia" w:ascii="仿宋_GB2312" w:hAnsi="仿宋_GB2312" w:eastAsia="仿宋_GB2312" w:cs="仿宋_GB2312"/>
                <w:kern w:val="0"/>
                <w:sz w:val="24"/>
                <w:szCs w:val="24"/>
              </w:rPr>
              <w:t>中融入课程思政: 在教学中，避免简单的说教，通过项目管理案例的选用，结合名言警句、新闻时事等方式将思政教育、立德树人融入日常课堂教学。</w:t>
            </w:r>
          </w:p>
          <w:p>
            <w:pPr>
              <w:snapToGrid w:val="0"/>
              <w:spacing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（4）在</w:t>
            </w:r>
            <w:r>
              <w:rPr>
                <w:rFonts w:hint="eastAsia" w:ascii="仿宋_GB2312" w:hAnsi="仿宋_GB2312" w:eastAsia="仿宋_GB2312" w:cs="仿宋_GB2312"/>
                <w:b/>
                <w:bCs/>
                <w:kern w:val="0"/>
                <w:sz w:val="24"/>
                <w:szCs w:val="24"/>
              </w:rPr>
              <w:t>线下项目</w:t>
            </w:r>
            <w:r>
              <w:rPr>
                <w:rFonts w:hint="eastAsia" w:ascii="仿宋_GB2312" w:hAnsi="仿宋_GB2312" w:eastAsia="仿宋_GB2312" w:cs="仿宋_GB2312"/>
                <w:kern w:val="0"/>
                <w:sz w:val="24"/>
                <w:szCs w:val="24"/>
              </w:rPr>
              <w:t>中融入课程思政: 通过线下“非遗文创商城”等项目，既可以让学生动手实践项目管理，又可以让同学们在实践中认识和了解我国的非遗物质文化遗产。批阅后挑选部分同学在课上做分享，使课程思政融入的更深更透。</w:t>
            </w:r>
          </w:p>
          <w:p>
            <w:pPr>
              <w:snapToGrid w:val="0"/>
              <w:spacing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（5）在</w:t>
            </w:r>
            <w:r>
              <w:rPr>
                <w:rFonts w:hint="eastAsia" w:ascii="仿宋_GB2312" w:hAnsi="仿宋_GB2312" w:eastAsia="仿宋_GB2312" w:cs="仿宋_GB2312"/>
                <w:b/>
                <w:bCs/>
                <w:kern w:val="0"/>
                <w:sz w:val="24"/>
                <w:szCs w:val="24"/>
              </w:rPr>
              <w:t>理论测验</w:t>
            </w:r>
            <w:r>
              <w:rPr>
                <w:rFonts w:hint="eastAsia" w:ascii="仿宋_GB2312" w:hAnsi="仿宋_GB2312" w:eastAsia="仿宋_GB2312" w:cs="仿宋_GB2312"/>
                <w:kern w:val="0"/>
                <w:sz w:val="24"/>
                <w:szCs w:val="24"/>
              </w:rPr>
              <w:t>中融入课程思政元素: 将我国的探月工程、火神山医院等热点编制成项目管理分析题或论述题的背景材料，使学生加强对当前我国的重大工程项目的关注和思考，养成关注国家大事的习惯。</w:t>
            </w:r>
          </w:p>
          <w:p>
            <w:pPr>
              <w:snapToGrid w:val="0"/>
              <w:spacing w:before="156" w:beforeLines="50" w:after="156" w:afterLines="50" w:line="340" w:lineRule="exact"/>
              <w:ind w:firstLine="482" w:firstLineChars="200"/>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2.改革教学方式方法，全面提升思政效果</w:t>
            </w:r>
          </w:p>
          <w:p>
            <w:pPr>
              <w:widowControl/>
              <w:jc w:val="center"/>
            </w:pPr>
            <w:r>
              <w:rPr>
                <w:rFonts w:ascii="宋体" w:hAnsi="宋体" w:cs="宋体"/>
                <w:kern w:val="0"/>
                <w:sz w:val="24"/>
                <w:szCs w:val="24"/>
              </w:rPr>
              <w:drawing>
                <wp:inline distT="0" distB="0" distL="0" distR="0">
                  <wp:extent cx="3689350" cy="1803400"/>
                  <wp:effectExtent l="0" t="0" r="6350" b="6350"/>
                  <wp:docPr id="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689350" cy="1803400"/>
                          </a:xfrm>
                          <a:prstGeom prst="rect">
                            <a:avLst/>
                          </a:prstGeom>
                          <a:noFill/>
                          <a:ln>
                            <a:noFill/>
                          </a:ln>
                        </pic:spPr>
                      </pic:pic>
                    </a:graphicData>
                  </a:graphic>
                </wp:inline>
              </w:drawing>
            </w:r>
          </w:p>
          <w:p>
            <w:pPr>
              <w:pStyle w:val="4"/>
              <w:spacing w:after="156" w:afterLines="50"/>
              <w:jc w:val="center"/>
            </w:pPr>
            <w:r>
              <w:t>图</w:t>
            </w:r>
            <w:r>
              <w:rPr>
                <w:rFonts w:hint="eastAsia"/>
              </w:rPr>
              <w:t>6  项目导向与逆向循环教学法</w:t>
            </w:r>
          </w:p>
          <w:p>
            <w:pPr>
              <w:snapToGrid w:val="0"/>
              <w:spacing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坚持校企融合、线上线下并行，以思政元素为抓手，改革教学方法与手段。可采用企业连线、仿真训练营、交互式投屏、移动微课、精品课程网站、课程实训平台、人工智能等信息化手段。</w:t>
            </w:r>
          </w:p>
          <w:p>
            <w:pPr>
              <w:snapToGrid w:val="0"/>
              <w:spacing w:before="156" w:beforeLines="50" w:after="156" w:afterLines="50"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应用线上教学方法和先进技术，实施逆向循环教学法，将一次课的教学过程分为课前、课中和课后，并有机地融入思政元素。课前通过精品课程网站发布课程相关资源；课中通过任务的分解，引导学生自主解决问题，再利用PK拓展，提出新问题，让学生提前预习下次课的学习任务；课后完成线下项目的实践。</w:t>
            </w:r>
          </w:p>
          <w:p>
            <w:pPr>
              <w:pStyle w:val="4"/>
              <w:spacing w:after="156" w:afterLines="50"/>
              <w:jc w:val="center"/>
            </w:pPr>
            <w:r>
              <w:t xml:space="preserve">表1 </w:t>
            </w:r>
            <w:r>
              <w:rPr>
                <w:rFonts w:hint="eastAsia"/>
              </w:rPr>
              <w:t xml:space="preserve"> 教学项目4-1《质量管理工具应用》</w:t>
            </w:r>
            <w:r>
              <w:t>课堂</w:t>
            </w:r>
            <w:r>
              <w:rPr>
                <w:rFonts w:hint="eastAsia"/>
              </w:rPr>
              <w:t>教学过程</w:t>
            </w:r>
          </w:p>
          <w:tbl>
            <w:tblPr>
              <w:tblStyle w:val="8"/>
              <w:tblW w:w="5953" w:type="dxa"/>
              <w:jc w:val="center"/>
              <w:tblBorders>
                <w:top w:val="single" w:color="0070C0" w:sz="8" w:space="0"/>
                <w:left w:val="single" w:color="0070C0" w:sz="8" w:space="0"/>
                <w:bottom w:val="single" w:color="0070C0" w:sz="8" w:space="0"/>
                <w:right w:val="single" w:color="0070C0" w:sz="8" w:space="0"/>
                <w:insideH w:val="dotted" w:color="7F7F7F" w:sz="4" w:space="0"/>
                <w:insideV w:val="dotted" w:color="7F7F7F" w:sz="4" w:space="0"/>
              </w:tblBorders>
              <w:tblLayout w:type="fixed"/>
              <w:tblCellMar>
                <w:top w:w="0" w:type="dxa"/>
                <w:left w:w="108" w:type="dxa"/>
                <w:bottom w:w="0" w:type="dxa"/>
                <w:right w:w="108" w:type="dxa"/>
              </w:tblCellMar>
            </w:tblPr>
            <w:tblGrid>
              <w:gridCol w:w="732"/>
              <w:gridCol w:w="1792"/>
              <w:gridCol w:w="1708"/>
              <w:gridCol w:w="1721"/>
            </w:tblGrid>
            <w:tr>
              <w:tblPrEx>
                <w:tblBorders>
                  <w:top w:val="single" w:color="0070C0" w:sz="8" w:space="0"/>
                  <w:left w:val="single" w:color="0070C0" w:sz="8" w:space="0"/>
                  <w:bottom w:val="single" w:color="0070C0" w:sz="8" w:space="0"/>
                  <w:right w:val="single" w:color="0070C0" w:sz="8" w:space="0"/>
                  <w:insideH w:val="dotted" w:color="7F7F7F" w:sz="4" w:space="0"/>
                  <w:insideV w:val="dotted" w:color="7F7F7F" w:sz="4" w:space="0"/>
                </w:tblBorders>
                <w:tblCellMar>
                  <w:top w:w="0" w:type="dxa"/>
                  <w:left w:w="108" w:type="dxa"/>
                  <w:bottom w:w="0" w:type="dxa"/>
                  <w:right w:w="108" w:type="dxa"/>
                </w:tblCellMar>
              </w:tblPrEx>
              <w:trPr>
                <w:trHeight w:val="408" w:hRule="atLeast"/>
                <w:jc w:val="center"/>
              </w:trPr>
              <w:tc>
                <w:tcPr>
                  <w:tcW w:w="5953" w:type="dxa"/>
                  <w:gridSpan w:val="4"/>
                  <w:tcBorders>
                    <w:top w:val="single" w:color="205968" w:sz="12" w:space="0"/>
                    <w:left w:val="single" w:color="4F81BD" w:sz="12" w:space="0"/>
                    <w:bottom w:val="dotted" w:color="auto" w:sz="4" w:space="0"/>
                    <w:right w:val="single" w:color="4F81BD" w:sz="12" w:space="0"/>
                  </w:tcBorders>
                  <w:shd w:val="clear" w:color="auto" w:fill="548DD4"/>
                  <w:vAlign w:val="center"/>
                </w:tcPr>
                <w:p>
                  <w:pPr>
                    <w:spacing w:line="300" w:lineRule="exact"/>
                    <w:jc w:val="center"/>
                    <w:outlineLvl w:val="3"/>
                    <w:rPr>
                      <w:rFonts w:ascii="楷体" w:hAnsi="楷体" w:eastAsia="楷体"/>
                      <w:b/>
                      <w:bCs/>
                      <w:szCs w:val="21"/>
                    </w:rPr>
                  </w:pPr>
                  <w:r>
                    <w:rPr>
                      <w:rFonts w:ascii="微软雅黑" w:hAnsi="微软雅黑" w:eastAsia="微软雅黑"/>
                      <w:b/>
                      <w:bCs/>
                      <w:color w:val="FFFFFF"/>
                      <w:szCs w:val="21"/>
                      <w:shd w:val="clear" w:color="auto" w:fill="548DD4"/>
                    </w:rPr>
                    <w:t>1</w:t>
                  </w:r>
                  <w:r>
                    <w:rPr>
                      <w:rFonts w:hint="eastAsia" w:ascii="微软雅黑" w:hAnsi="微软雅黑" w:eastAsia="微软雅黑"/>
                      <w:b/>
                      <w:bCs/>
                      <w:color w:val="FFFFFF"/>
                      <w:szCs w:val="21"/>
                      <w:shd w:val="clear" w:color="auto" w:fill="548DD4"/>
                    </w:rPr>
                    <w:t>课前自学</w:t>
                  </w:r>
                </w:p>
              </w:tc>
            </w:tr>
            <w:tr>
              <w:tblPrEx>
                <w:tblBorders>
                  <w:top w:val="single" w:color="0070C0" w:sz="8" w:space="0"/>
                  <w:left w:val="single" w:color="0070C0" w:sz="8" w:space="0"/>
                  <w:bottom w:val="single" w:color="0070C0" w:sz="8" w:space="0"/>
                  <w:right w:val="single" w:color="0070C0" w:sz="8" w:space="0"/>
                  <w:insideH w:val="dotted" w:color="7F7F7F" w:sz="4" w:space="0"/>
                  <w:insideV w:val="dotted" w:color="7F7F7F" w:sz="4" w:space="0"/>
                </w:tblBorders>
                <w:tblCellMar>
                  <w:top w:w="0" w:type="dxa"/>
                  <w:left w:w="108" w:type="dxa"/>
                  <w:bottom w:w="0" w:type="dxa"/>
                  <w:right w:w="108" w:type="dxa"/>
                </w:tblCellMar>
              </w:tblPrEx>
              <w:trPr>
                <w:trHeight w:val="567" w:hRule="atLeast"/>
                <w:jc w:val="center"/>
              </w:trPr>
              <w:tc>
                <w:tcPr>
                  <w:tcW w:w="732" w:type="dxa"/>
                  <w:tcBorders>
                    <w:top w:val="dotted" w:color="auto" w:sz="4" w:space="0"/>
                    <w:left w:val="single" w:color="4F81BD" w:sz="12" w:space="0"/>
                    <w:bottom w:val="dotted" w:color="auto" w:sz="4" w:space="0"/>
                    <w:right w:val="dotted" w:color="auto" w:sz="4"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环节</w:t>
                  </w:r>
                </w:p>
              </w:tc>
              <w:tc>
                <w:tcPr>
                  <w:tcW w:w="1792" w:type="dxa"/>
                  <w:tcBorders>
                    <w:top w:val="dotted" w:color="auto" w:sz="4" w:space="0"/>
                    <w:left w:val="dotted" w:color="auto" w:sz="4" w:space="0"/>
                    <w:bottom w:val="dotted" w:color="auto" w:sz="4" w:space="0"/>
                    <w:right w:val="dotted" w:color="auto" w:sz="4"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教师活动</w:t>
                  </w:r>
                </w:p>
              </w:tc>
              <w:tc>
                <w:tcPr>
                  <w:tcW w:w="1708" w:type="dxa"/>
                  <w:tcBorders>
                    <w:top w:val="dotted" w:color="auto" w:sz="4" w:space="0"/>
                    <w:left w:val="dotted" w:color="auto" w:sz="4" w:space="0"/>
                    <w:bottom w:val="dotted" w:color="auto" w:sz="4" w:space="0"/>
                    <w:right w:val="dotted" w:color="auto" w:sz="4"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学生活动</w:t>
                  </w:r>
                </w:p>
              </w:tc>
              <w:tc>
                <w:tcPr>
                  <w:tcW w:w="1721" w:type="dxa"/>
                  <w:tcBorders>
                    <w:top w:val="dotted" w:color="auto" w:sz="4" w:space="0"/>
                    <w:left w:val="dotted" w:color="auto" w:sz="4" w:space="0"/>
                    <w:bottom w:val="dotted" w:color="auto" w:sz="4" w:space="0"/>
                    <w:right w:val="single" w:color="4F81BD" w:sz="12"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思政活动</w:t>
                  </w:r>
                </w:p>
              </w:tc>
            </w:tr>
            <w:tr>
              <w:tblPrEx>
                <w:tblBorders>
                  <w:top w:val="single" w:color="0070C0" w:sz="8" w:space="0"/>
                  <w:left w:val="single" w:color="0070C0" w:sz="8" w:space="0"/>
                  <w:bottom w:val="single" w:color="0070C0" w:sz="8" w:space="0"/>
                  <w:right w:val="single" w:color="0070C0" w:sz="8" w:space="0"/>
                  <w:insideH w:val="dotted" w:color="7F7F7F" w:sz="4" w:space="0"/>
                  <w:insideV w:val="dotted" w:color="7F7F7F" w:sz="4" w:space="0"/>
                </w:tblBorders>
                <w:tblCellMar>
                  <w:top w:w="0" w:type="dxa"/>
                  <w:left w:w="108" w:type="dxa"/>
                  <w:bottom w:w="0" w:type="dxa"/>
                  <w:right w:w="108" w:type="dxa"/>
                </w:tblCellMar>
              </w:tblPrEx>
              <w:trPr>
                <w:trHeight w:val="90" w:hRule="atLeast"/>
                <w:jc w:val="center"/>
              </w:trPr>
              <w:tc>
                <w:tcPr>
                  <w:tcW w:w="732" w:type="dxa"/>
                  <w:vMerge w:val="restart"/>
                  <w:tcBorders>
                    <w:top w:val="dotted" w:color="auto" w:sz="4" w:space="0"/>
                    <w:left w:val="single" w:color="4F81BD" w:sz="12" w:space="0"/>
                    <w:right w:val="dotted" w:color="auto" w:sz="4" w:space="0"/>
                  </w:tcBorders>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课</w:t>
                  </w:r>
                </w:p>
                <w:p>
                  <w:pPr>
                    <w:spacing w:line="300" w:lineRule="exact"/>
                    <w:jc w:val="center"/>
                    <w:rPr>
                      <w:rFonts w:ascii="宋体" w:hAnsi="宋体" w:cs="宋体"/>
                      <w:bCs/>
                      <w:kern w:val="0"/>
                      <w:sz w:val="20"/>
                      <w:szCs w:val="20"/>
                    </w:rPr>
                  </w:pPr>
                  <w:r>
                    <w:rPr>
                      <w:rFonts w:hint="eastAsia" w:ascii="宋体" w:hAnsi="宋体" w:cs="宋体"/>
                      <w:bCs/>
                      <w:kern w:val="0"/>
                      <w:sz w:val="20"/>
                      <w:szCs w:val="20"/>
                    </w:rPr>
                    <w:t>前</w:t>
                  </w:r>
                </w:p>
                <w:p>
                  <w:pPr>
                    <w:spacing w:line="300" w:lineRule="exact"/>
                    <w:jc w:val="center"/>
                    <w:rPr>
                      <w:rFonts w:ascii="宋体" w:hAnsi="宋体" w:cs="宋体"/>
                      <w:bCs/>
                      <w:kern w:val="0"/>
                      <w:sz w:val="20"/>
                      <w:szCs w:val="20"/>
                    </w:rPr>
                  </w:pPr>
                  <w:r>
                    <w:rPr>
                      <w:rFonts w:hint="eastAsia" w:ascii="宋体" w:hAnsi="宋体" w:cs="宋体"/>
                      <w:bCs/>
                      <w:kern w:val="0"/>
                      <w:sz w:val="20"/>
                      <w:szCs w:val="20"/>
                    </w:rPr>
                    <w:t>准</w:t>
                  </w:r>
                </w:p>
                <w:p>
                  <w:pPr>
                    <w:spacing w:line="300" w:lineRule="exact"/>
                    <w:jc w:val="center"/>
                    <w:rPr>
                      <w:rFonts w:ascii="宋体" w:hAnsi="宋体"/>
                      <w:b/>
                      <w:bCs/>
                      <w:sz w:val="24"/>
                      <w:szCs w:val="24"/>
                    </w:rPr>
                  </w:pPr>
                  <w:r>
                    <w:rPr>
                      <w:rFonts w:hint="eastAsia" w:ascii="宋体" w:hAnsi="宋体" w:cs="宋体"/>
                      <w:bCs/>
                      <w:kern w:val="0"/>
                      <w:sz w:val="20"/>
                      <w:szCs w:val="20"/>
                    </w:rPr>
                    <w:t>备</w:t>
                  </w:r>
                </w:p>
              </w:tc>
              <w:tc>
                <w:tcPr>
                  <w:tcW w:w="1792" w:type="dxa"/>
                  <w:tcBorders>
                    <w:top w:val="dotted" w:color="auto" w:sz="4" w:space="0"/>
                    <w:left w:val="dotted" w:color="auto" w:sz="4" w:space="0"/>
                    <w:bottom w:val="dotted" w:color="auto" w:sz="4" w:space="0"/>
                    <w:right w:val="dotted" w:color="auto" w:sz="4" w:space="0"/>
                  </w:tcBorders>
                </w:tcPr>
                <w:p>
                  <w:pPr>
                    <w:spacing w:line="300" w:lineRule="exact"/>
                    <w:jc w:val="left"/>
                    <w:rPr>
                      <w:rFonts w:ascii="宋体" w:hAnsi="宋体"/>
                      <w:sz w:val="20"/>
                      <w:szCs w:val="20"/>
                    </w:rPr>
                  </w:pPr>
                  <w:r>
                    <w:rPr>
                      <w:rFonts w:hint="eastAsia" w:ascii="宋体" w:hAnsi="宋体"/>
                      <w:sz w:val="20"/>
                      <w:szCs w:val="20"/>
                    </w:rPr>
                    <w:t>①将课件、实操视频、案例资料等上传平台，发布自主学习任务。②查看分析学生答题情况。</w:t>
                  </w:r>
                </w:p>
              </w:tc>
              <w:tc>
                <w:tcPr>
                  <w:tcW w:w="1708" w:type="dxa"/>
                  <w:tcBorders>
                    <w:top w:val="dotted" w:color="auto" w:sz="4" w:space="0"/>
                    <w:left w:val="dotted" w:color="auto" w:sz="4" w:space="0"/>
                    <w:bottom w:val="dotted" w:color="auto" w:sz="4" w:space="0"/>
                    <w:right w:val="dotted" w:color="auto" w:sz="4" w:space="0"/>
                  </w:tcBorders>
                </w:tcPr>
                <w:p>
                  <w:pPr>
                    <w:spacing w:line="300" w:lineRule="exact"/>
                    <w:jc w:val="left"/>
                    <w:rPr>
                      <w:rFonts w:ascii="宋体" w:hAnsi="宋体"/>
                      <w:sz w:val="20"/>
                      <w:szCs w:val="20"/>
                    </w:rPr>
                  </w:pPr>
                  <w:r>
                    <w:rPr>
                      <w:rFonts w:hint="eastAsia" w:ascii="宋体" w:hAnsi="宋体"/>
                      <w:sz w:val="20"/>
                      <w:szCs w:val="20"/>
                    </w:rPr>
                    <w:t>①进入平台，按预习任务单进行学习；初步掌握质量管理的概念及常用工具；②完成线上测试。</w:t>
                  </w:r>
                </w:p>
              </w:tc>
              <w:tc>
                <w:tcPr>
                  <w:tcW w:w="1721" w:type="dxa"/>
                  <w:tcBorders>
                    <w:top w:val="dotted" w:color="auto" w:sz="4" w:space="0"/>
                    <w:left w:val="dotted" w:color="auto" w:sz="4" w:space="0"/>
                    <w:bottom w:val="dotted" w:color="auto" w:sz="4" w:space="0"/>
                    <w:right w:val="single" w:color="4F81BD" w:sz="12" w:space="0"/>
                  </w:tcBorders>
                </w:tcPr>
                <w:p>
                  <w:pPr>
                    <w:spacing w:line="300" w:lineRule="exact"/>
                    <w:jc w:val="left"/>
                    <w:rPr>
                      <w:rFonts w:ascii="宋体" w:hAnsi="宋体"/>
                      <w:sz w:val="20"/>
                      <w:szCs w:val="20"/>
                    </w:rPr>
                  </w:pPr>
                  <w:r>
                    <w:rPr>
                      <w:rFonts w:hint="eastAsia" w:ascii="宋体" w:hAnsi="宋体"/>
                      <w:sz w:val="20"/>
                      <w:szCs w:val="20"/>
                    </w:rPr>
                    <w:t>让学生思考项目质量控制对产品的影响，</w:t>
                  </w:r>
                  <w:r>
                    <w:rPr>
                      <w:rFonts w:hint="eastAsia"/>
                      <w:szCs w:val="21"/>
                    </w:rPr>
                    <w:t>引导学生重视质量、重视操作规程，形成内化的观念。</w:t>
                  </w:r>
                </w:p>
              </w:tc>
            </w:tr>
            <w:tr>
              <w:tblPrEx>
                <w:tblBorders>
                  <w:top w:val="single" w:color="0070C0" w:sz="8" w:space="0"/>
                  <w:left w:val="single" w:color="0070C0" w:sz="8" w:space="0"/>
                  <w:bottom w:val="single" w:color="0070C0" w:sz="8" w:space="0"/>
                  <w:right w:val="single" w:color="0070C0" w:sz="8" w:space="0"/>
                  <w:insideH w:val="dotted" w:color="7F7F7F" w:sz="4" w:space="0"/>
                  <w:insideV w:val="dotted" w:color="7F7F7F" w:sz="4" w:space="0"/>
                </w:tblBorders>
                <w:tblCellMar>
                  <w:top w:w="0" w:type="dxa"/>
                  <w:left w:w="108" w:type="dxa"/>
                  <w:bottom w:w="0" w:type="dxa"/>
                  <w:right w:w="108" w:type="dxa"/>
                </w:tblCellMar>
              </w:tblPrEx>
              <w:trPr>
                <w:trHeight w:val="1508" w:hRule="atLeast"/>
                <w:jc w:val="center"/>
              </w:trPr>
              <w:tc>
                <w:tcPr>
                  <w:tcW w:w="732" w:type="dxa"/>
                  <w:vMerge w:val="continue"/>
                  <w:tcBorders>
                    <w:left w:val="single" w:color="4F81BD" w:sz="12" w:space="0"/>
                    <w:right w:val="dotted" w:color="auto" w:sz="4" w:space="0"/>
                  </w:tcBorders>
                  <w:vAlign w:val="center"/>
                </w:tcPr>
                <w:p>
                  <w:pPr>
                    <w:spacing w:line="300" w:lineRule="exact"/>
                    <w:jc w:val="center"/>
                    <w:rPr>
                      <w:rFonts w:ascii="宋体" w:hAnsi="宋体" w:cs="宋体"/>
                      <w:bCs/>
                      <w:kern w:val="0"/>
                      <w:sz w:val="20"/>
                      <w:szCs w:val="20"/>
                    </w:rPr>
                  </w:pPr>
                </w:p>
              </w:tc>
              <w:tc>
                <w:tcPr>
                  <w:tcW w:w="5221" w:type="dxa"/>
                  <w:gridSpan w:val="3"/>
                  <w:tcBorders>
                    <w:top w:val="dotted" w:color="auto" w:sz="4" w:space="0"/>
                    <w:left w:val="dotted" w:color="auto" w:sz="4" w:space="0"/>
                    <w:bottom w:val="dotted" w:color="auto" w:sz="4" w:space="0"/>
                    <w:right w:val="single" w:color="4F81BD" w:sz="12" w:space="0"/>
                  </w:tcBorders>
                  <w:vAlign w:val="center"/>
                </w:tcPr>
                <w:p>
                  <w:pPr>
                    <w:spacing w:line="300" w:lineRule="exact"/>
                    <w:rPr>
                      <w:rFonts w:ascii="宋体" w:hAnsi="宋体"/>
                      <w:sz w:val="20"/>
                      <w:szCs w:val="20"/>
                    </w:rPr>
                  </w:pPr>
                  <w:r>
                    <w:drawing>
                      <wp:anchor distT="0" distB="0" distL="114300" distR="114300" simplePos="0" relativeHeight="251665408" behindDoc="0" locked="0" layoutInCell="1" allowOverlap="1">
                        <wp:simplePos x="0" y="0"/>
                        <wp:positionH relativeFrom="page">
                          <wp:posOffset>5080</wp:posOffset>
                        </wp:positionH>
                        <wp:positionV relativeFrom="page">
                          <wp:posOffset>171450</wp:posOffset>
                        </wp:positionV>
                        <wp:extent cx="3204210" cy="723900"/>
                        <wp:effectExtent l="0" t="0" r="0" b="0"/>
                        <wp:wrapTopAndBottom/>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t="47321"/>
                                <a:stretch>
                                  <a:fillRect/>
                                </a:stretch>
                              </pic:blipFill>
                              <pic:spPr>
                                <a:xfrm>
                                  <a:off x="0" y="0"/>
                                  <a:ext cx="3204210" cy="723900"/>
                                </a:xfrm>
                                <a:prstGeom prst="rect">
                                  <a:avLst/>
                                </a:prstGeom>
                                <a:noFill/>
                                <a:ln>
                                  <a:noFill/>
                                </a:ln>
                              </pic:spPr>
                            </pic:pic>
                          </a:graphicData>
                        </a:graphic>
                      </wp:anchor>
                    </w:drawing>
                  </w:r>
                </w:p>
              </w:tc>
            </w:tr>
            <w:tr>
              <w:tblPrEx>
                <w:tblBorders>
                  <w:top w:val="single" w:color="0070C0" w:sz="8" w:space="0"/>
                  <w:left w:val="single" w:color="0070C0" w:sz="8" w:space="0"/>
                  <w:bottom w:val="single" w:color="0070C0" w:sz="8" w:space="0"/>
                  <w:right w:val="single" w:color="0070C0" w:sz="8" w:space="0"/>
                  <w:insideH w:val="dotted" w:color="7F7F7F" w:sz="4" w:space="0"/>
                  <w:insideV w:val="dotted" w:color="7F7F7F" w:sz="4" w:space="0"/>
                </w:tblBorders>
                <w:tblCellMar>
                  <w:top w:w="0" w:type="dxa"/>
                  <w:left w:w="108" w:type="dxa"/>
                  <w:bottom w:w="0" w:type="dxa"/>
                  <w:right w:w="108" w:type="dxa"/>
                </w:tblCellMar>
              </w:tblPrEx>
              <w:trPr>
                <w:trHeight w:val="567" w:hRule="atLeast"/>
                <w:jc w:val="center"/>
              </w:trPr>
              <w:tc>
                <w:tcPr>
                  <w:tcW w:w="5953" w:type="dxa"/>
                  <w:gridSpan w:val="4"/>
                  <w:tcBorders>
                    <w:top w:val="dotted" w:color="auto" w:sz="4" w:space="0"/>
                    <w:left w:val="single" w:color="4F81BD" w:sz="12" w:space="0"/>
                    <w:bottom w:val="dotted" w:color="auto" w:sz="4" w:space="0"/>
                    <w:right w:val="single" w:color="4F81BD" w:sz="12" w:space="0"/>
                  </w:tcBorders>
                  <w:shd w:val="clear" w:color="auto" w:fill="548DD4"/>
                  <w:vAlign w:val="center"/>
                </w:tcPr>
                <w:p>
                  <w:pPr>
                    <w:spacing w:line="300" w:lineRule="exact"/>
                    <w:jc w:val="center"/>
                    <w:outlineLvl w:val="3"/>
                    <w:rPr>
                      <w:rFonts w:ascii="微软雅黑" w:hAnsi="微软雅黑" w:eastAsia="微软雅黑"/>
                      <w:b/>
                      <w:bCs/>
                      <w:color w:val="FFFFFF"/>
                      <w:szCs w:val="21"/>
                    </w:rPr>
                  </w:pPr>
                  <w:r>
                    <w:rPr>
                      <w:rFonts w:ascii="微软雅黑" w:hAnsi="微软雅黑" w:eastAsia="微软雅黑"/>
                      <w:b/>
                      <w:bCs/>
                      <w:color w:val="FFFFFF"/>
                      <w:szCs w:val="21"/>
                    </w:rPr>
                    <w:t>2</w:t>
                  </w:r>
                  <w:r>
                    <w:rPr>
                      <w:rFonts w:hint="eastAsia" w:ascii="微软雅黑" w:hAnsi="微软雅黑" w:eastAsia="微软雅黑"/>
                      <w:b/>
                      <w:bCs/>
                      <w:color w:val="FFFFFF"/>
                      <w:szCs w:val="21"/>
                    </w:rPr>
                    <w:t>课中导学</w:t>
                  </w:r>
                </w:p>
              </w:tc>
            </w:tr>
            <w:tr>
              <w:tblPrEx>
                <w:tblBorders>
                  <w:top w:val="single" w:color="0070C0" w:sz="8" w:space="0"/>
                  <w:left w:val="single" w:color="0070C0" w:sz="8" w:space="0"/>
                  <w:bottom w:val="single" w:color="0070C0" w:sz="8" w:space="0"/>
                  <w:right w:val="single" w:color="0070C0" w:sz="8" w:space="0"/>
                  <w:insideH w:val="dotted" w:color="7F7F7F" w:sz="4" w:space="0"/>
                  <w:insideV w:val="dotted" w:color="7F7F7F" w:sz="4" w:space="0"/>
                </w:tblBorders>
                <w:tblCellMar>
                  <w:top w:w="0" w:type="dxa"/>
                  <w:left w:w="108" w:type="dxa"/>
                  <w:bottom w:w="0" w:type="dxa"/>
                  <w:right w:w="108" w:type="dxa"/>
                </w:tblCellMar>
              </w:tblPrEx>
              <w:trPr>
                <w:jc w:val="center"/>
              </w:trPr>
              <w:tc>
                <w:tcPr>
                  <w:tcW w:w="732" w:type="dxa"/>
                  <w:tcBorders>
                    <w:top w:val="dotted" w:color="205968" w:sz="4" w:space="0"/>
                    <w:left w:val="single" w:color="4F81BD" w:sz="12" w:space="0"/>
                    <w:bottom w:val="dotted" w:color="auto" w:sz="4"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环节</w:t>
                  </w:r>
                </w:p>
              </w:tc>
              <w:tc>
                <w:tcPr>
                  <w:tcW w:w="1792" w:type="dxa"/>
                  <w:tcBorders>
                    <w:top w:val="dotted" w:color="205968" w:sz="4" w:space="0"/>
                    <w:bottom w:val="dotted" w:color="auto" w:sz="4" w:space="0"/>
                    <w:right w:val="dotted" w:color="auto" w:sz="4"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教师活动</w:t>
                  </w:r>
                </w:p>
              </w:tc>
              <w:tc>
                <w:tcPr>
                  <w:tcW w:w="1708" w:type="dxa"/>
                  <w:tcBorders>
                    <w:top w:val="dotted" w:color="1D5739" w:sz="4" w:space="0"/>
                    <w:left w:val="dotted" w:color="auto" w:sz="4" w:space="0"/>
                    <w:bottom w:val="dotted" w:color="0F243E" w:sz="4" w:space="0"/>
                    <w:right w:val="dotted" w:color="auto" w:sz="4"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学生活动</w:t>
                  </w:r>
                </w:p>
              </w:tc>
              <w:tc>
                <w:tcPr>
                  <w:tcW w:w="1721" w:type="dxa"/>
                  <w:tcBorders>
                    <w:top w:val="dotted" w:color="1D5739" w:sz="4" w:space="0"/>
                    <w:left w:val="dotted" w:color="auto" w:sz="4" w:space="0"/>
                    <w:bottom w:val="dotted" w:color="0F243E" w:sz="4" w:space="0"/>
                    <w:right w:val="single" w:color="4F81BD" w:sz="12"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思政活动</w:t>
                  </w:r>
                </w:p>
              </w:tc>
            </w:tr>
            <w:tr>
              <w:tblPrEx>
                <w:tblBorders>
                  <w:top w:val="single" w:color="0070C0" w:sz="8" w:space="0"/>
                  <w:left w:val="single" w:color="0070C0" w:sz="8" w:space="0"/>
                  <w:bottom w:val="single" w:color="0070C0" w:sz="8" w:space="0"/>
                  <w:right w:val="single" w:color="0070C0" w:sz="8" w:space="0"/>
                  <w:insideH w:val="dotted" w:color="7F7F7F" w:sz="4" w:space="0"/>
                  <w:insideV w:val="dotted" w:color="7F7F7F" w:sz="4" w:space="0"/>
                </w:tblBorders>
                <w:tblCellMar>
                  <w:top w:w="0" w:type="dxa"/>
                  <w:left w:w="108" w:type="dxa"/>
                  <w:bottom w:w="0" w:type="dxa"/>
                  <w:right w:w="108" w:type="dxa"/>
                </w:tblCellMar>
              </w:tblPrEx>
              <w:trPr>
                <w:trHeight w:val="90" w:hRule="atLeast"/>
                <w:jc w:val="center"/>
              </w:trPr>
              <w:tc>
                <w:tcPr>
                  <w:tcW w:w="732" w:type="dxa"/>
                  <w:tcBorders>
                    <w:top w:val="dotted" w:color="auto" w:sz="4" w:space="0"/>
                    <w:left w:val="single" w:color="4F81BD" w:sz="12" w:space="0"/>
                  </w:tcBorders>
                  <w:vAlign w:val="center"/>
                </w:tcPr>
                <w:p>
                  <w:pPr>
                    <w:spacing w:line="300" w:lineRule="exact"/>
                    <w:jc w:val="center"/>
                    <w:rPr>
                      <w:rFonts w:ascii="楷体" w:hAnsi="楷体" w:eastAsia="楷体"/>
                      <w:b/>
                      <w:bCs/>
                      <w:sz w:val="24"/>
                      <w:szCs w:val="24"/>
                    </w:rPr>
                  </w:pPr>
                </w:p>
                <w:p>
                  <w:pPr>
                    <w:spacing w:line="300" w:lineRule="exact"/>
                    <w:jc w:val="center"/>
                    <w:rPr>
                      <w:rFonts w:ascii="楷体" w:hAnsi="楷体" w:eastAsia="楷体"/>
                      <w:b/>
                      <w:bCs/>
                      <w:sz w:val="24"/>
                      <w:szCs w:val="24"/>
                    </w:rPr>
                  </w:pPr>
                  <w:r>
                    <w:rPr>
                      <w:rFonts w:hint="eastAsia" w:ascii="楷体" w:hAnsi="楷体" w:eastAsia="楷体"/>
                      <w:b/>
                      <w:bCs/>
                      <w:sz w:val="24"/>
                      <w:szCs w:val="24"/>
                    </w:rPr>
                    <w:t>提出</w:t>
                  </w:r>
                </w:p>
                <w:p>
                  <w:pPr>
                    <w:spacing w:line="300" w:lineRule="exact"/>
                    <w:jc w:val="center"/>
                    <w:rPr>
                      <w:rFonts w:ascii="楷体" w:hAnsi="楷体" w:eastAsia="楷体"/>
                      <w:b/>
                      <w:bCs/>
                      <w:sz w:val="24"/>
                      <w:szCs w:val="24"/>
                    </w:rPr>
                  </w:pPr>
                  <w:r>
                    <w:rPr>
                      <w:rFonts w:hint="eastAsia" w:ascii="楷体" w:hAnsi="楷体" w:eastAsia="楷体"/>
                      <w:b/>
                      <w:bCs/>
                      <w:sz w:val="24"/>
                      <w:szCs w:val="24"/>
                    </w:rPr>
                    <w:t>任务</w:t>
                  </w:r>
                </w:p>
                <w:p>
                  <w:pPr>
                    <w:spacing w:line="300" w:lineRule="exact"/>
                    <w:jc w:val="center"/>
                    <w:rPr>
                      <w:rFonts w:ascii="楷体" w:hAnsi="楷体" w:eastAsia="楷体"/>
                      <w:b/>
                      <w:bCs/>
                      <w:sz w:val="24"/>
                      <w:szCs w:val="24"/>
                    </w:rPr>
                  </w:pPr>
                </w:p>
                <w:p>
                  <w:pPr>
                    <w:spacing w:line="300" w:lineRule="exact"/>
                    <w:jc w:val="center"/>
                    <w:rPr>
                      <w:rFonts w:ascii="楷体" w:hAnsi="楷体" w:eastAsia="楷体"/>
                      <w:szCs w:val="21"/>
                    </w:rPr>
                  </w:pPr>
                  <w:r>
                    <w:rPr>
                      <w:rFonts w:hint="eastAsia" w:ascii="楷体" w:hAnsi="楷体" w:eastAsia="楷体"/>
                      <w:szCs w:val="21"/>
                    </w:rPr>
                    <w:t>10</w:t>
                  </w:r>
                </w:p>
                <w:p>
                  <w:pPr>
                    <w:spacing w:line="300" w:lineRule="exact"/>
                    <w:jc w:val="center"/>
                    <w:rPr>
                      <w:rFonts w:ascii="微软雅黑" w:hAnsi="微软雅黑" w:eastAsia="微软雅黑"/>
                      <w:b/>
                      <w:bCs/>
                      <w:i/>
                      <w:iCs/>
                      <w:color w:val="FFFFFF"/>
                      <w:sz w:val="22"/>
                    </w:rPr>
                  </w:pPr>
                  <w:r>
                    <w:rPr>
                      <w:rFonts w:hint="eastAsia" w:ascii="楷体" w:hAnsi="楷体" w:eastAsia="楷体"/>
                      <w:szCs w:val="21"/>
                    </w:rPr>
                    <w:t>分钟</w:t>
                  </w:r>
                </w:p>
                <w:p>
                  <w:pPr>
                    <w:spacing w:line="300" w:lineRule="exact"/>
                    <w:jc w:val="center"/>
                    <w:rPr>
                      <w:rFonts w:ascii="楷体" w:hAnsi="楷体" w:eastAsia="楷体"/>
                      <w:b/>
                      <w:bCs/>
                      <w:color w:val="FF0000"/>
                      <w:sz w:val="24"/>
                      <w:szCs w:val="24"/>
                    </w:rPr>
                  </w:pPr>
                </w:p>
              </w:tc>
              <w:tc>
                <w:tcPr>
                  <w:tcW w:w="1792" w:type="dxa"/>
                  <w:tcBorders>
                    <w:top w:val="dotted" w:color="auto" w:sz="4" w:space="0"/>
                    <w:bottom w:val="dotted" w:color="0F243E" w:sz="4" w:space="0"/>
                    <w:right w:val="dotted" w:color="auto" w:sz="4" w:space="0"/>
                  </w:tcBorders>
                </w:tcPr>
                <w:p>
                  <w:pPr>
                    <w:spacing w:line="300" w:lineRule="exact"/>
                    <w:jc w:val="left"/>
                    <w:rPr>
                      <w:rFonts w:ascii="宋体" w:hAnsi="宋体"/>
                      <w:sz w:val="20"/>
                      <w:szCs w:val="20"/>
                    </w:rPr>
                  </w:pPr>
                  <w:r>
                    <w:rPr>
                      <w:rFonts w:hint="eastAsia" w:ascii="宋体" w:hAnsi="宋体"/>
                      <w:sz w:val="20"/>
                      <w:szCs w:val="20"/>
                    </w:rPr>
                    <w:t>①提问</w:t>
                  </w:r>
                  <w:r>
                    <w:rPr>
                      <w:rFonts w:hint="eastAsia"/>
                      <w:szCs w:val="21"/>
                    </w:rPr>
                    <w:t>核对表、控制图、帕累托图、因果图、PDCA循环等工具及技术。</w:t>
                  </w:r>
                  <w:r>
                    <w:rPr>
                      <w:rFonts w:hint="eastAsia" w:ascii="宋体" w:hAnsi="宋体"/>
                      <w:sz w:val="20"/>
                      <w:szCs w:val="20"/>
                    </w:rPr>
                    <w:t>②布置学生应用核对表、因果图等分析质量问题。</w:t>
                  </w:r>
                </w:p>
              </w:tc>
              <w:tc>
                <w:tcPr>
                  <w:tcW w:w="1708" w:type="dxa"/>
                  <w:tcBorders>
                    <w:top w:val="dotted" w:color="1D5739" w:sz="4" w:space="0"/>
                    <w:left w:val="dotted" w:color="auto" w:sz="4" w:space="0"/>
                    <w:bottom w:val="dotted" w:color="0F243E" w:sz="4" w:space="0"/>
                    <w:right w:val="dotted" w:color="auto" w:sz="4" w:space="0"/>
                  </w:tcBorders>
                </w:tcPr>
                <w:p>
                  <w:pPr>
                    <w:spacing w:line="300" w:lineRule="exact"/>
                    <w:jc w:val="left"/>
                    <w:rPr>
                      <w:rFonts w:ascii="宋体" w:hAnsi="宋体"/>
                      <w:bCs/>
                      <w:sz w:val="20"/>
                      <w:szCs w:val="20"/>
                    </w:rPr>
                  </w:pPr>
                  <w:r>
                    <w:rPr>
                      <w:rFonts w:hint="eastAsia" w:ascii="宋体" w:hAnsi="宋体"/>
                      <w:sz w:val="20"/>
                      <w:szCs w:val="20"/>
                    </w:rPr>
                    <w:t>①</w:t>
                  </w:r>
                  <w:r>
                    <w:rPr>
                      <w:rFonts w:hint="eastAsia"/>
                    </w:rPr>
                    <w:t>反思自己课前学习的不足，加强学习相关知识。</w:t>
                  </w:r>
                  <w:r>
                    <w:rPr>
                      <w:rFonts w:hint="eastAsia" w:ascii="宋体" w:hAnsi="宋体"/>
                      <w:sz w:val="20"/>
                      <w:szCs w:val="20"/>
                    </w:rPr>
                    <w:t>②</w:t>
                  </w:r>
                  <w:r>
                    <w:rPr>
                      <w:rFonts w:hint="eastAsia"/>
                    </w:rPr>
                    <w:t>带着应用意识去探究质量问题。</w:t>
                  </w:r>
                </w:p>
                <w:p>
                  <w:pPr>
                    <w:pStyle w:val="2"/>
                    <w:ind w:firstLine="200"/>
                    <w:rPr>
                      <w:rFonts w:ascii="宋体" w:hAnsi="宋体"/>
                      <w:bCs/>
                      <w:sz w:val="20"/>
                      <w:szCs w:val="20"/>
                    </w:rPr>
                  </w:pPr>
                </w:p>
              </w:tc>
              <w:tc>
                <w:tcPr>
                  <w:tcW w:w="1721" w:type="dxa"/>
                  <w:tcBorders>
                    <w:top w:val="dotted" w:color="1D5739" w:sz="4" w:space="0"/>
                    <w:left w:val="dotted" w:color="auto" w:sz="4" w:space="0"/>
                    <w:bottom w:val="dotted" w:color="0F243E" w:sz="4" w:space="0"/>
                    <w:right w:val="single" w:color="4F81BD" w:sz="12" w:space="0"/>
                  </w:tcBorders>
                </w:tcPr>
                <w:p>
                  <w:pPr>
                    <w:spacing w:line="300" w:lineRule="exact"/>
                    <w:jc w:val="left"/>
                    <w:rPr>
                      <w:rFonts w:ascii="宋体" w:hAnsi="宋体"/>
                      <w:sz w:val="20"/>
                      <w:szCs w:val="20"/>
                    </w:rPr>
                  </w:pPr>
                  <w:r>
                    <w:rPr>
                      <w:rFonts w:hint="eastAsia" w:ascii="宋体" w:hAnsi="宋体"/>
                      <w:sz w:val="20"/>
                      <w:szCs w:val="20"/>
                    </w:rPr>
                    <w:t>让学生思考在项目管理中可能出现的质量问题，让学生对工匠精神、职业操守和技术操守进行反思和重新思考。</w:t>
                  </w:r>
                </w:p>
              </w:tc>
            </w:tr>
            <w:tr>
              <w:tblPrEx>
                <w:tblBorders>
                  <w:top w:val="single" w:color="0070C0" w:sz="8" w:space="0"/>
                  <w:left w:val="single" w:color="0070C0" w:sz="8" w:space="0"/>
                  <w:bottom w:val="single" w:color="0070C0" w:sz="8" w:space="0"/>
                  <w:right w:val="single" w:color="0070C0" w:sz="8" w:space="0"/>
                  <w:insideH w:val="dotted" w:color="7F7F7F" w:sz="4" w:space="0"/>
                  <w:insideV w:val="dotted" w:color="7F7F7F" w:sz="4" w:space="0"/>
                </w:tblBorders>
                <w:tblCellMar>
                  <w:top w:w="0" w:type="dxa"/>
                  <w:left w:w="108" w:type="dxa"/>
                  <w:bottom w:w="0" w:type="dxa"/>
                  <w:right w:w="108" w:type="dxa"/>
                </w:tblCellMar>
              </w:tblPrEx>
              <w:trPr>
                <w:trHeight w:val="2391" w:hRule="atLeast"/>
                <w:jc w:val="center"/>
              </w:trPr>
              <w:tc>
                <w:tcPr>
                  <w:tcW w:w="732" w:type="dxa"/>
                  <w:tcBorders>
                    <w:top w:val="dotted" w:color="auto" w:sz="4" w:space="0"/>
                    <w:left w:val="single" w:color="4F81BD" w:sz="12" w:space="0"/>
                  </w:tcBorders>
                  <w:vAlign w:val="center"/>
                </w:tcPr>
                <w:p>
                  <w:pPr>
                    <w:spacing w:line="300" w:lineRule="exact"/>
                    <w:jc w:val="center"/>
                    <w:rPr>
                      <w:rFonts w:ascii="楷体" w:hAnsi="楷体" w:eastAsia="楷体"/>
                      <w:b/>
                      <w:bCs/>
                      <w:color w:val="FF0000"/>
                      <w:sz w:val="24"/>
                      <w:szCs w:val="24"/>
                    </w:rPr>
                  </w:pPr>
                </w:p>
              </w:tc>
              <w:tc>
                <w:tcPr>
                  <w:tcW w:w="5221" w:type="dxa"/>
                  <w:gridSpan w:val="3"/>
                  <w:tcBorders>
                    <w:top w:val="dotted" w:color="auto" w:sz="4" w:space="0"/>
                    <w:bottom w:val="dotted" w:color="0F243E" w:sz="4" w:space="0"/>
                    <w:right w:val="single" w:color="4F81BD" w:sz="12" w:space="0"/>
                  </w:tcBorders>
                  <w:vAlign w:val="center"/>
                </w:tcPr>
                <w:p>
                  <w:pPr>
                    <w:spacing w:line="300" w:lineRule="exact"/>
                    <w:rPr>
                      <w:rFonts w:ascii="宋体" w:hAnsi="宋体"/>
                      <w:sz w:val="20"/>
                      <w:szCs w:val="20"/>
                    </w:rPr>
                  </w:pPr>
                  <w:r>
                    <w:rPr>
                      <w:rFonts w:hint="eastAsia" w:ascii="宋体" w:hAnsi="宋体"/>
                      <w:sz w:val="20"/>
                      <w:szCs w:val="20"/>
                    </w:rPr>
                    <w:drawing>
                      <wp:anchor distT="0" distB="0" distL="114300" distR="114300" simplePos="0" relativeHeight="251666432" behindDoc="0" locked="0" layoutInCell="1" allowOverlap="1">
                        <wp:simplePos x="0" y="0"/>
                        <wp:positionH relativeFrom="column">
                          <wp:posOffset>377825</wp:posOffset>
                        </wp:positionH>
                        <wp:positionV relativeFrom="paragraph">
                          <wp:posOffset>43815</wp:posOffset>
                        </wp:positionV>
                        <wp:extent cx="2055495" cy="1421765"/>
                        <wp:effectExtent l="0" t="0" r="1905" b="6985"/>
                        <wp:wrapTopAndBottom/>
                        <wp:docPr id="16"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55495" cy="1421765"/>
                                </a:xfrm>
                                <a:prstGeom prst="rect">
                                  <a:avLst/>
                                </a:prstGeom>
                                <a:noFill/>
                                <a:ln>
                                  <a:noFill/>
                                </a:ln>
                              </pic:spPr>
                            </pic:pic>
                          </a:graphicData>
                        </a:graphic>
                      </wp:anchor>
                    </w:drawing>
                  </w:r>
                </w:p>
              </w:tc>
            </w:tr>
            <w:tr>
              <w:tblPrEx>
                <w:tblBorders>
                  <w:top w:val="single" w:color="0070C0" w:sz="8" w:space="0"/>
                  <w:left w:val="single" w:color="0070C0" w:sz="8" w:space="0"/>
                  <w:bottom w:val="single" w:color="0070C0" w:sz="8" w:space="0"/>
                  <w:right w:val="single" w:color="0070C0" w:sz="8" w:space="0"/>
                  <w:insideH w:val="dotted" w:color="7F7F7F" w:sz="4" w:space="0"/>
                  <w:insideV w:val="dotted" w:color="7F7F7F" w:sz="4" w:space="0"/>
                </w:tblBorders>
                <w:tblCellMar>
                  <w:top w:w="0" w:type="dxa"/>
                  <w:left w:w="108" w:type="dxa"/>
                  <w:bottom w:w="0" w:type="dxa"/>
                  <w:right w:w="108" w:type="dxa"/>
                </w:tblCellMar>
              </w:tblPrEx>
              <w:trPr>
                <w:trHeight w:val="483" w:hRule="atLeast"/>
                <w:jc w:val="center"/>
              </w:trPr>
              <w:tc>
                <w:tcPr>
                  <w:tcW w:w="732" w:type="dxa"/>
                  <w:tcBorders>
                    <w:top w:val="dotted" w:color="auto" w:sz="4" w:space="0"/>
                    <w:left w:val="single" w:color="4F81BD" w:sz="12" w:space="0"/>
                    <w:bottom w:val="dotted" w:color="1D5739" w:sz="4"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环节</w:t>
                  </w:r>
                </w:p>
              </w:tc>
              <w:tc>
                <w:tcPr>
                  <w:tcW w:w="1792" w:type="dxa"/>
                  <w:tcBorders>
                    <w:top w:val="dotted" w:color="auto" w:sz="4" w:space="0"/>
                    <w:bottom w:val="dotted" w:color="0F243E" w:sz="4" w:space="0"/>
                    <w:right w:val="dotted" w:color="0F243E" w:sz="4"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教师活动</w:t>
                  </w:r>
                </w:p>
              </w:tc>
              <w:tc>
                <w:tcPr>
                  <w:tcW w:w="1708" w:type="dxa"/>
                  <w:tcBorders>
                    <w:top w:val="dotted" w:color="0F243E" w:sz="4" w:space="0"/>
                    <w:left w:val="dotted" w:color="0F243E" w:sz="4" w:space="0"/>
                    <w:bottom w:val="dotted" w:color="0F243E" w:sz="4" w:space="0"/>
                    <w:right w:val="dotted" w:color="0F243E" w:sz="4"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学生活动</w:t>
                  </w:r>
                </w:p>
              </w:tc>
              <w:tc>
                <w:tcPr>
                  <w:tcW w:w="1721" w:type="dxa"/>
                  <w:tcBorders>
                    <w:top w:val="dotted" w:color="0F243E" w:sz="4" w:space="0"/>
                    <w:left w:val="dotted" w:color="0F243E" w:sz="4" w:space="0"/>
                    <w:bottom w:val="dotted" w:color="auto" w:sz="4" w:space="0"/>
                    <w:right w:val="single" w:color="4F81BD" w:sz="12"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思政活动</w:t>
                  </w:r>
                </w:p>
              </w:tc>
            </w:tr>
            <w:tr>
              <w:tblPrEx>
                <w:tblBorders>
                  <w:top w:val="single" w:color="0070C0" w:sz="8" w:space="0"/>
                  <w:left w:val="single" w:color="0070C0" w:sz="8" w:space="0"/>
                  <w:bottom w:val="single" w:color="0070C0" w:sz="8" w:space="0"/>
                  <w:right w:val="single" w:color="0070C0" w:sz="8" w:space="0"/>
                  <w:insideH w:val="dotted" w:color="7F7F7F" w:sz="4" w:space="0"/>
                  <w:insideV w:val="dotted" w:color="7F7F7F" w:sz="4" w:space="0"/>
                </w:tblBorders>
                <w:tblCellMar>
                  <w:top w:w="0" w:type="dxa"/>
                  <w:left w:w="108" w:type="dxa"/>
                  <w:bottom w:w="0" w:type="dxa"/>
                  <w:right w:w="108" w:type="dxa"/>
                </w:tblCellMar>
              </w:tblPrEx>
              <w:trPr>
                <w:trHeight w:val="1456" w:hRule="atLeast"/>
                <w:jc w:val="center"/>
              </w:trPr>
              <w:tc>
                <w:tcPr>
                  <w:tcW w:w="732" w:type="dxa"/>
                  <w:vMerge w:val="restart"/>
                  <w:tcBorders>
                    <w:top w:val="dotted" w:color="auto" w:sz="4" w:space="0"/>
                    <w:left w:val="single" w:color="4F81BD" w:sz="12" w:space="0"/>
                  </w:tcBorders>
                  <w:vAlign w:val="center"/>
                </w:tcPr>
                <w:p>
                  <w:pPr>
                    <w:spacing w:line="300" w:lineRule="exact"/>
                    <w:jc w:val="center"/>
                    <w:rPr>
                      <w:rFonts w:ascii="楷体" w:hAnsi="楷体" w:eastAsia="楷体"/>
                      <w:b/>
                      <w:bCs/>
                      <w:sz w:val="24"/>
                      <w:szCs w:val="24"/>
                    </w:rPr>
                  </w:pPr>
                  <w:r>
                    <w:rPr>
                      <w:rFonts w:hint="eastAsia" w:ascii="楷体" w:hAnsi="楷体" w:eastAsia="楷体"/>
                      <w:b/>
                      <w:bCs/>
                      <w:sz w:val="24"/>
                      <w:szCs w:val="24"/>
                    </w:rPr>
                    <w:t>引导</w:t>
                  </w:r>
                </w:p>
                <w:p>
                  <w:pPr>
                    <w:spacing w:line="300" w:lineRule="exact"/>
                    <w:jc w:val="center"/>
                    <w:rPr>
                      <w:rFonts w:ascii="楷体" w:hAnsi="楷体" w:eastAsia="楷体"/>
                      <w:b/>
                      <w:bCs/>
                      <w:sz w:val="24"/>
                      <w:szCs w:val="24"/>
                    </w:rPr>
                  </w:pPr>
                  <w:r>
                    <w:rPr>
                      <w:rFonts w:hint="eastAsia" w:ascii="楷体" w:hAnsi="楷体" w:eastAsia="楷体"/>
                      <w:b/>
                      <w:bCs/>
                      <w:sz w:val="24"/>
                      <w:szCs w:val="24"/>
                    </w:rPr>
                    <w:t>解决</w:t>
                  </w:r>
                </w:p>
                <w:p>
                  <w:pPr>
                    <w:spacing w:line="300" w:lineRule="exact"/>
                    <w:jc w:val="center"/>
                    <w:rPr>
                      <w:rFonts w:ascii="楷体" w:hAnsi="楷体" w:eastAsia="楷体"/>
                      <w:b/>
                      <w:bCs/>
                      <w:sz w:val="24"/>
                      <w:szCs w:val="24"/>
                    </w:rPr>
                  </w:pPr>
                </w:p>
                <w:p>
                  <w:pPr>
                    <w:spacing w:line="300" w:lineRule="exact"/>
                    <w:jc w:val="center"/>
                    <w:rPr>
                      <w:rFonts w:ascii="楷体" w:hAnsi="楷体" w:eastAsia="楷体"/>
                      <w:szCs w:val="21"/>
                    </w:rPr>
                  </w:pPr>
                  <w:r>
                    <w:rPr>
                      <w:rFonts w:hint="eastAsia" w:ascii="楷体" w:hAnsi="楷体" w:eastAsia="楷体"/>
                      <w:szCs w:val="21"/>
                    </w:rPr>
                    <w:t>8</w:t>
                  </w:r>
                </w:p>
                <w:p>
                  <w:pPr>
                    <w:spacing w:line="300" w:lineRule="exact"/>
                    <w:jc w:val="center"/>
                    <w:rPr>
                      <w:rFonts w:ascii="楷体" w:hAnsi="楷体" w:eastAsia="楷体"/>
                      <w:szCs w:val="21"/>
                    </w:rPr>
                  </w:pPr>
                  <w:r>
                    <w:rPr>
                      <w:rFonts w:hint="eastAsia" w:ascii="楷体" w:hAnsi="楷体" w:eastAsia="楷体"/>
                      <w:szCs w:val="21"/>
                    </w:rPr>
                    <w:t>分钟</w:t>
                  </w:r>
                </w:p>
                <w:p>
                  <w:pPr>
                    <w:spacing w:line="300" w:lineRule="exact"/>
                    <w:jc w:val="center"/>
                    <w:rPr>
                      <w:rFonts w:ascii="楷体" w:hAnsi="楷体" w:eastAsia="楷体"/>
                      <w:b/>
                      <w:bCs/>
                      <w:sz w:val="24"/>
                      <w:szCs w:val="24"/>
                    </w:rPr>
                  </w:pPr>
                  <w:r>
                    <w:rPr>
                      <w:rFonts w:hint="eastAsia" w:ascii="楷体" w:hAnsi="楷体" w:eastAsia="楷体"/>
                      <w:b/>
                      <w:bCs/>
                      <w:color w:val="FFFFFF"/>
                      <w:sz w:val="22"/>
                    </w:rPr>
                    <w:t>8</w:t>
                  </w:r>
                  <w:r>
                    <w:rPr>
                      <w:rFonts w:ascii="微软雅黑" w:hAnsi="微软雅黑" w:eastAsia="微软雅黑"/>
                      <w:b/>
                      <w:bCs/>
                      <w:i/>
                      <w:iCs/>
                      <w:color w:val="FFFFFF"/>
                      <w:sz w:val="22"/>
                    </w:rPr>
                    <w:t>min</w:t>
                  </w:r>
                </w:p>
              </w:tc>
              <w:tc>
                <w:tcPr>
                  <w:tcW w:w="1792" w:type="dxa"/>
                  <w:tcBorders>
                    <w:top w:val="dotted" w:color="auto" w:sz="4" w:space="0"/>
                    <w:bottom w:val="dotted" w:color="0F243E" w:sz="4" w:space="0"/>
                    <w:right w:val="dotted" w:color="0F243E" w:sz="4" w:space="0"/>
                  </w:tcBorders>
                </w:tcPr>
                <w:p>
                  <w:pPr>
                    <w:spacing w:line="300" w:lineRule="exact"/>
                    <w:rPr>
                      <w:rFonts w:ascii="宋体" w:hAnsi="宋体"/>
                      <w:sz w:val="20"/>
                      <w:szCs w:val="20"/>
                    </w:rPr>
                  </w:pPr>
                  <w:r>
                    <w:rPr>
                      <w:rFonts w:hint="eastAsia" w:ascii="宋体" w:hAnsi="宋体"/>
                      <w:sz w:val="20"/>
                      <w:szCs w:val="20"/>
                    </w:rPr>
                    <w:t>播放真实项目案例，分析质量管理概念，展示质量管理的工具和图表。</w:t>
                  </w:r>
                </w:p>
              </w:tc>
              <w:tc>
                <w:tcPr>
                  <w:tcW w:w="1708" w:type="dxa"/>
                  <w:tcBorders>
                    <w:top w:val="dotted" w:color="0F243E" w:sz="4" w:space="0"/>
                    <w:left w:val="dotted" w:color="0F243E" w:sz="4" w:space="0"/>
                    <w:bottom w:val="dotted" w:color="0F243E" w:sz="4" w:space="0"/>
                    <w:right w:val="dotted" w:color="0F243E" w:sz="4" w:space="0"/>
                  </w:tcBorders>
                </w:tcPr>
                <w:p>
                  <w:pPr>
                    <w:spacing w:line="300" w:lineRule="exact"/>
                    <w:rPr>
                      <w:rFonts w:ascii="宋体" w:hAnsi="宋体"/>
                      <w:sz w:val="20"/>
                      <w:szCs w:val="20"/>
                    </w:rPr>
                  </w:pPr>
                  <w:r>
                    <w:rPr>
                      <w:rFonts w:hint="eastAsia" w:ascii="宋体" w:hAnsi="宋体"/>
                      <w:sz w:val="20"/>
                      <w:szCs w:val="20"/>
                    </w:rPr>
                    <w:t>认真观看视频和课件，踊跃回答问题。</w:t>
                  </w:r>
                </w:p>
              </w:tc>
              <w:tc>
                <w:tcPr>
                  <w:tcW w:w="1721" w:type="dxa"/>
                  <w:tcBorders>
                    <w:top w:val="dotted" w:color="0F243E" w:sz="4" w:space="0"/>
                    <w:left w:val="dotted" w:color="0F243E" w:sz="4" w:space="0"/>
                    <w:bottom w:val="dotted" w:color="auto" w:sz="4" w:space="0"/>
                    <w:right w:val="single" w:color="4F81BD" w:sz="12" w:space="0"/>
                  </w:tcBorders>
                </w:tcPr>
                <w:p>
                  <w:pPr>
                    <w:spacing w:line="300" w:lineRule="exact"/>
                    <w:rPr>
                      <w:rFonts w:ascii="宋体" w:hAnsi="宋体"/>
                      <w:sz w:val="20"/>
                      <w:szCs w:val="20"/>
                    </w:rPr>
                  </w:pPr>
                  <w:r>
                    <w:rPr>
                      <w:rFonts w:hint="eastAsia" w:ascii="宋体" w:hAnsi="宋体"/>
                      <w:sz w:val="20"/>
                      <w:szCs w:val="20"/>
                    </w:rPr>
                    <w:t>树立正确的质量管理观念。</w:t>
                  </w:r>
                </w:p>
              </w:tc>
            </w:tr>
            <w:tr>
              <w:tblPrEx>
                <w:tblBorders>
                  <w:top w:val="single" w:color="0070C0" w:sz="8" w:space="0"/>
                  <w:left w:val="single" w:color="0070C0" w:sz="8" w:space="0"/>
                  <w:bottom w:val="single" w:color="0070C0" w:sz="8" w:space="0"/>
                  <w:right w:val="single" w:color="0070C0" w:sz="8" w:space="0"/>
                  <w:insideH w:val="dotted" w:color="7F7F7F" w:sz="4" w:space="0"/>
                  <w:insideV w:val="dotted" w:color="7F7F7F" w:sz="4" w:space="0"/>
                </w:tblBorders>
                <w:tblCellMar>
                  <w:top w:w="0" w:type="dxa"/>
                  <w:left w:w="108" w:type="dxa"/>
                  <w:bottom w:w="0" w:type="dxa"/>
                  <w:right w:w="108" w:type="dxa"/>
                </w:tblCellMar>
              </w:tblPrEx>
              <w:trPr>
                <w:trHeight w:val="1559" w:hRule="atLeast"/>
                <w:jc w:val="center"/>
              </w:trPr>
              <w:tc>
                <w:tcPr>
                  <w:tcW w:w="732" w:type="dxa"/>
                  <w:vMerge w:val="continue"/>
                  <w:tcBorders>
                    <w:left w:val="single" w:color="4F81BD" w:sz="12" w:space="0"/>
                  </w:tcBorders>
                  <w:vAlign w:val="center"/>
                </w:tcPr>
                <w:p>
                  <w:pPr>
                    <w:spacing w:line="300" w:lineRule="exact"/>
                    <w:jc w:val="center"/>
                    <w:rPr>
                      <w:rFonts w:ascii="楷体" w:hAnsi="楷体" w:eastAsia="楷体"/>
                      <w:b/>
                      <w:bCs/>
                      <w:sz w:val="24"/>
                      <w:szCs w:val="24"/>
                    </w:rPr>
                  </w:pPr>
                </w:p>
              </w:tc>
              <w:tc>
                <w:tcPr>
                  <w:tcW w:w="5221" w:type="dxa"/>
                  <w:gridSpan w:val="3"/>
                  <w:tcBorders>
                    <w:top w:val="dotted" w:color="auto" w:sz="4" w:space="0"/>
                    <w:bottom w:val="dotted" w:color="0F243E" w:sz="4" w:space="0"/>
                    <w:right w:val="single" w:color="4F81BD" w:sz="12" w:space="0"/>
                  </w:tcBorders>
                  <w:vAlign w:val="center"/>
                </w:tcPr>
                <w:p>
                  <w:pPr>
                    <w:spacing w:line="300" w:lineRule="exact"/>
                    <w:rPr>
                      <w:rFonts w:ascii="宋体" w:hAnsi="宋体"/>
                      <w:sz w:val="20"/>
                      <w:szCs w:val="20"/>
                    </w:rPr>
                  </w:pPr>
                  <w:r>
                    <w:rPr>
                      <w:sz w:val="20"/>
                    </w:rPr>
                    <mc:AlternateContent>
                      <mc:Choice Requires="wps">
                        <w:drawing>
                          <wp:anchor distT="0" distB="0" distL="114300" distR="114300" simplePos="0" relativeHeight="251664384" behindDoc="0" locked="0" layoutInCell="1" allowOverlap="1">
                            <wp:simplePos x="0" y="0"/>
                            <wp:positionH relativeFrom="column">
                              <wp:posOffset>2372995</wp:posOffset>
                            </wp:positionH>
                            <wp:positionV relativeFrom="paragraph">
                              <wp:posOffset>50165</wp:posOffset>
                            </wp:positionV>
                            <wp:extent cx="821055" cy="890270"/>
                            <wp:effectExtent l="0" t="0" r="17145" b="24130"/>
                            <wp:wrapNone/>
                            <wp:docPr id="147" name="左箭头 147"/>
                            <wp:cNvGraphicFramePr/>
                            <a:graphic xmlns:a="http://schemas.openxmlformats.org/drawingml/2006/main">
                              <a:graphicData uri="http://schemas.microsoft.com/office/word/2010/wordprocessingShape">
                                <wps:wsp>
                                  <wps:cNvSpPr/>
                                  <wps:spPr>
                                    <a:xfrm>
                                      <a:off x="0" y="0"/>
                                      <a:ext cx="821055" cy="890270"/>
                                    </a:xfrm>
                                    <a:prstGeom prst="leftArrow">
                                      <a:avLst/>
                                    </a:prstGeom>
                                    <a:solidFill>
                                      <a:srgbClr val="4F81BD"/>
                                    </a:solidFill>
                                    <a:ln w="25400" cap="flat" cmpd="sng" algn="ctr">
                                      <a:solidFill>
                                        <a:srgbClr val="385D8A">
                                          <a:shade val="50000"/>
                                        </a:srgbClr>
                                      </a:solidFill>
                                      <a:prstDash val="solid"/>
                                    </a:ln>
                                  </wps:spPr>
                                  <wps:txbx>
                                    <w:txbxContent>
                                      <w:p>
                                        <w:pPr>
                                          <w:rPr>
                                            <w:b/>
                                            <w:bCs/>
                                            <w:color w:val="FFFFFF"/>
                                            <w:sz w:val="18"/>
                                            <w:szCs w:val="18"/>
                                          </w:rPr>
                                        </w:pPr>
                                        <w:r>
                                          <w:rPr>
                                            <w:rFonts w:hint="eastAsia"/>
                                            <w:b/>
                                            <w:bCs/>
                                            <w:color w:val="FFFFFF"/>
                                            <w:sz w:val="18"/>
                                            <w:szCs w:val="18"/>
                                          </w:rPr>
                                          <w:t>质量不好的影响？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86.85pt;margin-top:3.95pt;height:70.1pt;width:64.65pt;z-index:251664384;v-text-anchor:middle;mso-width-relative:page;mso-height-relative:page;" fillcolor="#4F81BD" filled="t" stroked="t" coordsize="21600,21600" o:gfxdata="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revonNUAAAAJAQAADwAAAAAA&#10;AAABACAAAAAiAAAAZHJzL2Rvd25yZXYueG1sUEsBAhQAFAAAAAgAh07iQJmwW9mIAgAAFAUAAA4A&#10;AAAAAAAAAQAgAAAAJAEAAGRycy9lMm9Eb2MueG1sUEsFBgAAAAAGAAYAWQEAAB4GAAAAAA==&#10;" adj="10800,5400">
                            <v:fill on="t" focussize="0,0"/>
                            <v:stroke weight="2pt" color="#264264" joinstyle="round"/>
                            <v:imagedata o:title=""/>
                            <o:lock v:ext="edit" aspectratio="f"/>
                            <v:textbox>
                              <w:txbxContent>
                                <w:p>
                                  <w:pPr>
                                    <w:rPr>
                                      <w:b/>
                                      <w:bCs/>
                                      <w:color w:val="FFFFFF"/>
                                      <w:sz w:val="18"/>
                                      <w:szCs w:val="18"/>
                                    </w:rPr>
                                  </w:pPr>
                                  <w:r>
                                    <w:rPr>
                                      <w:rFonts w:hint="eastAsia"/>
                                      <w:b/>
                                      <w:bCs/>
                                      <w:color w:val="FFFFFF"/>
                                      <w:sz w:val="18"/>
                                      <w:szCs w:val="18"/>
                                    </w:rPr>
                                    <w:t>质量不好的影响？</w:t>
                                  </w:r>
                                </w:p>
                              </w:txbxContent>
                            </v:textbox>
                          </v:shape>
                        </w:pict>
                      </mc:Fallback>
                    </mc:AlternateContent>
                  </w:r>
                  <w:r>
                    <w:rPr>
                      <w:sz w:val="20"/>
                    </w:rPr>
                    <mc:AlternateContent>
                      <mc:Choice Requires="wps">
                        <w:drawing>
                          <wp:anchor distT="0" distB="0" distL="114300" distR="114300" simplePos="0" relativeHeight="251663360" behindDoc="0" locked="0" layoutInCell="1" allowOverlap="1">
                            <wp:simplePos x="0" y="0"/>
                            <wp:positionH relativeFrom="column">
                              <wp:posOffset>1536700</wp:posOffset>
                            </wp:positionH>
                            <wp:positionV relativeFrom="paragraph">
                              <wp:posOffset>59055</wp:posOffset>
                            </wp:positionV>
                            <wp:extent cx="794385" cy="901700"/>
                            <wp:effectExtent l="0" t="0" r="24765" b="12700"/>
                            <wp:wrapNone/>
                            <wp:docPr id="148" name="椭圆 148"/>
                            <wp:cNvGraphicFramePr/>
                            <a:graphic xmlns:a="http://schemas.openxmlformats.org/drawingml/2006/main">
                              <a:graphicData uri="http://schemas.microsoft.com/office/word/2010/wordprocessingShape">
                                <wps:wsp>
                                  <wps:cNvSpPr/>
                                  <wps:spPr>
                                    <a:xfrm>
                                      <a:off x="0" y="0"/>
                                      <a:ext cx="794385" cy="901700"/>
                                    </a:xfrm>
                                    <a:prstGeom prst="ellipse">
                                      <a:avLst/>
                                    </a:prstGeom>
                                    <a:solidFill>
                                      <a:srgbClr val="4F81BD"/>
                                    </a:solidFill>
                                    <a:ln w="25400" cap="flat" cmpd="sng" algn="ctr">
                                      <a:solidFill>
                                        <a:srgbClr val="385D8A">
                                          <a:shade val="50000"/>
                                        </a:srgbClr>
                                      </a:solidFill>
                                      <a:prstDash val="solid"/>
                                    </a:ln>
                                  </wps:spPr>
                                  <wps:txbx>
                                    <w:txbxContent>
                                      <w:p>
                                        <w:pPr>
                                          <w:rPr>
                                            <w:b/>
                                            <w:bCs/>
                                            <w:color w:val="FFFFFF"/>
                                          </w:rPr>
                                        </w:pPr>
                                        <w:r>
                                          <w:rPr>
                                            <w:rFonts w:hint="eastAsia"/>
                                            <w:b/>
                                            <w:bCs/>
                                            <w:color w:val="FFFFFF"/>
                                          </w:rPr>
                                          <w:t>提出问题引发思考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1pt;margin-top:4.65pt;height:71pt;width:62.55pt;z-index:251663360;v-text-anchor:middle;mso-width-relative:page;mso-height-relative:page;" fillcolor="#4F81BD" filled="t" stroked="t" coordsize="21600,21600" o:gfxdata="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U5e/F2gAAAAkBAAAPAAAAAAAA&#10;AAEAIAAAACIAAABkcnMvZG93bnJldi54bWxQSwECFAAUAAAACACHTuJA19UEPYICAAAPBQAADgAA&#10;AAAAAAABACAAAAApAQAAZHJzL2Uyb0RvYy54bWxQSwUGAAAAAAYABgBZAQAAHQYAAAAA&#10;">
                            <v:fill on="t" focussize="0,0"/>
                            <v:stroke weight="2pt" color="#264264" joinstyle="round"/>
                            <v:imagedata o:title=""/>
                            <o:lock v:ext="edit" aspectratio="f"/>
                            <v:textbox>
                              <w:txbxContent>
                                <w:p>
                                  <w:pPr>
                                    <w:rPr>
                                      <w:b/>
                                      <w:bCs/>
                                      <w:color w:val="FFFFFF"/>
                                    </w:rPr>
                                  </w:pPr>
                                  <w:r>
                                    <w:rPr>
                                      <w:rFonts w:hint="eastAsia"/>
                                      <w:b/>
                                      <w:bCs/>
                                      <w:color w:val="FFFFFF"/>
                                    </w:rPr>
                                    <w:t>提出问题引发思考</w:t>
                                  </w:r>
                                </w:p>
                              </w:txbxContent>
                            </v:textbox>
                          </v:shape>
                        </w:pict>
                      </mc:Fallback>
                    </mc:AlternateContent>
                  </w:r>
                  <w:r>
                    <w:rPr>
                      <w:sz w:val="20"/>
                    </w:rPr>
                    <mc:AlternateContent>
                      <mc:Choice Requires="wps">
                        <w:drawing>
                          <wp:anchor distT="0" distB="0" distL="114300" distR="114300" simplePos="0" relativeHeight="251661312" behindDoc="0" locked="0" layoutInCell="1" allowOverlap="1">
                            <wp:simplePos x="0" y="0"/>
                            <wp:positionH relativeFrom="column">
                              <wp:posOffset>626110</wp:posOffset>
                            </wp:positionH>
                            <wp:positionV relativeFrom="paragraph">
                              <wp:posOffset>86360</wp:posOffset>
                            </wp:positionV>
                            <wp:extent cx="852805" cy="814070"/>
                            <wp:effectExtent l="0" t="19050" r="42545" b="43180"/>
                            <wp:wrapNone/>
                            <wp:docPr id="149" name="右箭头 149"/>
                            <wp:cNvGraphicFramePr/>
                            <a:graphic xmlns:a="http://schemas.openxmlformats.org/drawingml/2006/main">
                              <a:graphicData uri="http://schemas.microsoft.com/office/word/2010/wordprocessingShape">
                                <wps:wsp>
                                  <wps:cNvSpPr/>
                                  <wps:spPr>
                                    <a:xfrm>
                                      <a:off x="0" y="0"/>
                                      <a:ext cx="852805" cy="814070"/>
                                    </a:xfrm>
                                    <a:prstGeom prst="rightArrow">
                                      <a:avLst/>
                                    </a:prstGeom>
                                    <a:solidFill>
                                      <a:srgbClr val="4F81BD"/>
                                    </a:solidFill>
                                    <a:ln w="25400" cap="flat" cmpd="sng" algn="ctr">
                                      <a:solidFill>
                                        <a:srgbClr val="385D8A">
                                          <a:shade val="50000"/>
                                        </a:srgbClr>
                                      </a:solidFill>
                                      <a:prstDash val="solid"/>
                                    </a:ln>
                                  </wps:spPr>
                                  <wps:txbx>
                                    <w:txbxContent>
                                      <w:p>
                                        <w:pPr>
                                          <w:spacing w:line="240" w:lineRule="exact"/>
                                          <w:rPr>
                                            <w:b/>
                                            <w:bCs/>
                                            <w:color w:val="FFFFFF"/>
                                            <w:sz w:val="18"/>
                                            <w:szCs w:val="18"/>
                                          </w:rPr>
                                        </w:pPr>
                                        <w:r>
                                          <w:rPr>
                                            <w:rFonts w:hint="eastAsia"/>
                                            <w:b/>
                                            <w:bCs/>
                                            <w:color w:val="FFFFFF"/>
                                            <w:sz w:val="18"/>
                                            <w:szCs w:val="18"/>
                                          </w:rPr>
                                          <w:t>质量控制</w:t>
                                        </w:r>
                                      </w:p>
                                      <w:p>
                                        <w:pPr>
                                          <w:spacing w:line="240" w:lineRule="exact"/>
                                          <w:rPr>
                                            <w:b/>
                                            <w:bCs/>
                                            <w:color w:val="FFFFFF"/>
                                            <w:sz w:val="18"/>
                                            <w:szCs w:val="18"/>
                                          </w:rPr>
                                        </w:pPr>
                                        <w:r>
                                          <w:rPr>
                                            <w:rFonts w:hint="eastAsia"/>
                                            <w:b/>
                                            <w:bCs/>
                                            <w:color w:val="FFFFFF"/>
                                            <w:sz w:val="18"/>
                                            <w:szCs w:val="18"/>
                                          </w:rPr>
                                          <w:t>如何实施？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9.3pt;margin-top:6.8pt;height:64.1pt;width:67.15pt;z-index:251661312;v-text-anchor:middle;mso-width-relative:page;mso-height-relative:page;" fillcolor="#4F81BD" filled="t" stroked="t" coordsize="21600,21600" o:gfxdata="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GL2zZTYAAAACQEAAA8A&#10;AAAAAAAAAQAgAAAAIgAAAGRycy9kb3ducmV2LnhtbFBLAQIUABQAAAAIAIdO4kCp5V68iQIAABUF&#10;AAAOAAAAAAAAAAEAIAAAACcBAABkcnMvZTJvRG9jLnhtbFBLBQYAAAAABgAGAFkBAAAiBgAAAAA=&#10;" adj="11291,5400">
                            <v:fill on="t" focussize="0,0"/>
                            <v:stroke weight="2pt" color="#264264" joinstyle="round"/>
                            <v:imagedata o:title=""/>
                            <o:lock v:ext="edit" aspectratio="f"/>
                            <v:textbox>
                              <w:txbxContent>
                                <w:p>
                                  <w:pPr>
                                    <w:spacing w:line="240" w:lineRule="exact"/>
                                    <w:rPr>
                                      <w:b/>
                                      <w:bCs/>
                                      <w:color w:val="FFFFFF"/>
                                      <w:sz w:val="18"/>
                                      <w:szCs w:val="18"/>
                                    </w:rPr>
                                  </w:pPr>
                                  <w:r>
                                    <w:rPr>
                                      <w:rFonts w:hint="eastAsia"/>
                                      <w:b/>
                                      <w:bCs/>
                                      <w:color w:val="FFFFFF"/>
                                      <w:sz w:val="18"/>
                                      <w:szCs w:val="18"/>
                                    </w:rPr>
                                    <w:t>质量控制</w:t>
                                  </w:r>
                                </w:p>
                                <w:p>
                                  <w:pPr>
                                    <w:spacing w:line="240" w:lineRule="exact"/>
                                    <w:rPr>
                                      <w:b/>
                                      <w:bCs/>
                                      <w:color w:val="FFFFFF"/>
                                      <w:sz w:val="18"/>
                                      <w:szCs w:val="18"/>
                                    </w:rPr>
                                  </w:pPr>
                                  <w:r>
                                    <w:rPr>
                                      <w:rFonts w:hint="eastAsia"/>
                                      <w:b/>
                                      <w:bCs/>
                                      <w:color w:val="FFFFFF"/>
                                      <w:sz w:val="18"/>
                                      <w:szCs w:val="18"/>
                                    </w:rPr>
                                    <w:t>如何实施？</w:t>
                                  </w:r>
                                </w:p>
                              </w:txbxContent>
                            </v:textbox>
                          </v:shape>
                        </w:pict>
                      </mc:Fallback>
                    </mc:AlternateContent>
                  </w:r>
                  <w:r>
                    <w:rPr>
                      <w:sz w:val="20"/>
                    </w:rPr>
                    <mc:AlternateContent>
                      <mc:Choice Requires="wps">
                        <w:drawing>
                          <wp:anchor distT="0" distB="0" distL="114300" distR="114300" simplePos="0" relativeHeight="251662336" behindDoc="0" locked="0" layoutInCell="1" allowOverlap="1">
                            <wp:simplePos x="0" y="0"/>
                            <wp:positionH relativeFrom="column">
                              <wp:posOffset>3175</wp:posOffset>
                            </wp:positionH>
                            <wp:positionV relativeFrom="paragraph">
                              <wp:posOffset>181610</wp:posOffset>
                            </wp:positionV>
                            <wp:extent cx="558165" cy="593725"/>
                            <wp:effectExtent l="0" t="0" r="13335" b="15875"/>
                            <wp:wrapNone/>
                            <wp:docPr id="150" name="圆角矩形 150"/>
                            <wp:cNvGraphicFramePr/>
                            <a:graphic xmlns:a="http://schemas.openxmlformats.org/drawingml/2006/main">
                              <a:graphicData uri="http://schemas.microsoft.com/office/word/2010/wordprocessingShape">
                                <wps:wsp>
                                  <wps:cNvSpPr/>
                                  <wps:spPr>
                                    <a:xfrm>
                                      <a:off x="0" y="0"/>
                                      <a:ext cx="558165" cy="593725"/>
                                    </a:xfrm>
                                    <a:prstGeom prst="roundRect">
                                      <a:avLst/>
                                    </a:prstGeom>
                                    <a:solidFill>
                                      <a:srgbClr val="4F81BD"/>
                                    </a:solidFill>
                                    <a:ln w="25400" cap="flat" cmpd="sng" algn="ctr">
                                      <a:solidFill>
                                        <a:srgbClr val="385D8A">
                                          <a:shade val="50000"/>
                                        </a:srgbClr>
                                      </a:solidFill>
                                      <a:prstDash val="solid"/>
                                    </a:ln>
                                  </wps:spPr>
                                  <wps:txbx>
                                    <w:txbxContent>
                                      <w:p>
                                        <w:pPr>
                                          <w:rPr>
                                            <w:b/>
                                            <w:bCs/>
                                            <w:color w:val="FFFFFF"/>
                                            <w:sz w:val="24"/>
                                            <w:szCs w:val="24"/>
                                          </w:rPr>
                                        </w:pPr>
                                        <w:r>
                                          <w:rPr>
                                            <w:rFonts w:hint="eastAsia"/>
                                            <w:b/>
                                            <w:bCs/>
                                            <w:color w:val="FFFFFF"/>
                                            <w:sz w:val="24"/>
                                            <w:szCs w:val="24"/>
                                          </w:rPr>
                                          <w:t>观看</w:t>
                                        </w:r>
                                      </w:p>
                                      <w:p>
                                        <w:pPr>
                                          <w:pStyle w:val="2"/>
                                          <w:ind w:firstLine="0" w:firstLineChars="0"/>
                                          <w:rPr>
                                            <w:color w:val="FFFFFF"/>
                                            <w:sz w:val="24"/>
                                            <w:szCs w:val="24"/>
                                          </w:rPr>
                                        </w:pPr>
                                        <w:r>
                                          <w:rPr>
                                            <w:rFonts w:hint="eastAsia"/>
                                            <w:b/>
                                            <w:bCs/>
                                            <w:color w:val="FFFFFF"/>
                                            <w:sz w:val="24"/>
                                            <w:szCs w:val="24"/>
                                          </w:rPr>
                                          <w:t>视频</w:t>
                                        </w:r>
                                      </w:p>
                                      <w:p>
                                        <w:pPr>
                                          <w:rPr>
                                            <w:color w:val="FFFFFF"/>
                                            <w:sz w:val="32"/>
                                            <w:szCs w:val="3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25pt;margin-top:14.3pt;height:46.75pt;width:43.95pt;z-index:251662336;v-text-anchor:middle;mso-width-relative:page;mso-height-relative:page;" fillcolor="#4F81BD" filled="t" stroked="t" coordsize="21600,21600" arcsize="0.166666666666667" o:gfxdata="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cl5Pq9MAAAAGAQAA&#10;DwAAAAAAAAABACAAAAAiAAAAZHJzL2Rvd25yZXYueG1sUEsBAhQAFAAAAAgAh07iQLHivc2QAgAA&#10;FwUAAA4AAAAAAAAAAQAgAAAAIgEAAGRycy9lMm9Eb2MueG1sUEsFBgAAAAAGAAYAWQEAACQGAAAA&#10;AA==&#10;">
                            <v:fill on="t" focussize="0,0"/>
                            <v:stroke weight="2pt" color="#264264" joinstyle="round"/>
                            <v:imagedata o:title=""/>
                            <o:lock v:ext="edit" aspectratio="f"/>
                            <v:textbox>
                              <w:txbxContent>
                                <w:p>
                                  <w:pPr>
                                    <w:rPr>
                                      <w:b/>
                                      <w:bCs/>
                                      <w:color w:val="FFFFFF"/>
                                      <w:sz w:val="24"/>
                                      <w:szCs w:val="24"/>
                                    </w:rPr>
                                  </w:pPr>
                                  <w:r>
                                    <w:rPr>
                                      <w:rFonts w:hint="eastAsia"/>
                                      <w:b/>
                                      <w:bCs/>
                                      <w:color w:val="FFFFFF"/>
                                      <w:sz w:val="24"/>
                                      <w:szCs w:val="24"/>
                                    </w:rPr>
                                    <w:t>观看</w:t>
                                  </w:r>
                                </w:p>
                                <w:p>
                                  <w:pPr>
                                    <w:pStyle w:val="2"/>
                                    <w:ind w:firstLine="0" w:firstLineChars="0"/>
                                    <w:rPr>
                                      <w:color w:val="FFFFFF"/>
                                      <w:sz w:val="24"/>
                                      <w:szCs w:val="24"/>
                                    </w:rPr>
                                  </w:pPr>
                                  <w:r>
                                    <w:rPr>
                                      <w:rFonts w:hint="eastAsia"/>
                                      <w:b/>
                                      <w:bCs/>
                                      <w:color w:val="FFFFFF"/>
                                      <w:sz w:val="24"/>
                                      <w:szCs w:val="24"/>
                                    </w:rPr>
                                    <w:t>视频</w:t>
                                  </w:r>
                                </w:p>
                                <w:p>
                                  <w:pPr>
                                    <w:rPr>
                                      <w:color w:val="FFFFFF"/>
                                      <w:sz w:val="32"/>
                                      <w:szCs w:val="32"/>
                                    </w:rPr>
                                  </w:pPr>
                                </w:p>
                              </w:txbxContent>
                            </v:textbox>
                          </v:roundrect>
                        </w:pict>
                      </mc:Fallback>
                    </mc:AlternateContent>
                  </w:r>
                </w:p>
              </w:tc>
            </w:tr>
            <w:tr>
              <w:tblPrEx>
                <w:tblBorders>
                  <w:top w:val="single" w:color="0070C0" w:sz="8" w:space="0"/>
                  <w:left w:val="single" w:color="0070C0" w:sz="8" w:space="0"/>
                  <w:bottom w:val="single" w:color="0070C0" w:sz="8" w:space="0"/>
                  <w:right w:val="single" w:color="0070C0" w:sz="8" w:space="0"/>
                  <w:insideH w:val="dotted" w:color="7F7F7F" w:sz="4" w:space="0"/>
                  <w:insideV w:val="dotted" w:color="7F7F7F" w:sz="4" w:space="0"/>
                </w:tblBorders>
                <w:tblCellMar>
                  <w:top w:w="0" w:type="dxa"/>
                  <w:left w:w="108" w:type="dxa"/>
                  <w:bottom w:w="0" w:type="dxa"/>
                  <w:right w:w="108" w:type="dxa"/>
                </w:tblCellMar>
              </w:tblPrEx>
              <w:trPr>
                <w:trHeight w:val="556" w:hRule="atLeast"/>
                <w:jc w:val="center"/>
              </w:trPr>
              <w:tc>
                <w:tcPr>
                  <w:tcW w:w="732" w:type="dxa"/>
                  <w:tcBorders>
                    <w:left w:val="single" w:color="4F81BD" w:sz="12" w:space="0"/>
                    <w:bottom w:val="dotted" w:color="1D5739" w:sz="4"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环节</w:t>
                  </w:r>
                </w:p>
              </w:tc>
              <w:tc>
                <w:tcPr>
                  <w:tcW w:w="1792" w:type="dxa"/>
                  <w:tcBorders>
                    <w:top w:val="dotted" w:color="auto" w:sz="4" w:space="0"/>
                    <w:bottom w:val="dotted" w:color="0F243E" w:sz="4" w:space="0"/>
                    <w:right w:val="dotted" w:color="auto" w:sz="4"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教师活动</w:t>
                  </w:r>
                </w:p>
              </w:tc>
              <w:tc>
                <w:tcPr>
                  <w:tcW w:w="1708" w:type="dxa"/>
                  <w:tcBorders>
                    <w:top w:val="dotted" w:color="auto" w:sz="4" w:space="0"/>
                    <w:left w:val="dotted" w:color="auto" w:sz="4" w:space="0"/>
                    <w:bottom w:val="dotted" w:color="0F243E" w:sz="4" w:space="0"/>
                    <w:right w:val="dotted" w:color="auto" w:sz="4"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学生活动</w:t>
                  </w:r>
                </w:p>
              </w:tc>
              <w:tc>
                <w:tcPr>
                  <w:tcW w:w="1721" w:type="dxa"/>
                  <w:tcBorders>
                    <w:top w:val="dotted" w:color="auto" w:sz="4" w:space="0"/>
                    <w:left w:val="dotted" w:color="auto" w:sz="4" w:space="0"/>
                    <w:bottom w:val="dotted" w:color="0F243E" w:sz="4" w:space="0"/>
                    <w:right w:val="single" w:color="4F81BD" w:sz="12"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思政活动</w:t>
                  </w:r>
                </w:p>
              </w:tc>
            </w:tr>
            <w:tr>
              <w:tblPrEx>
                <w:tblBorders>
                  <w:top w:val="single" w:color="0070C0" w:sz="8" w:space="0"/>
                  <w:left w:val="single" w:color="0070C0" w:sz="8" w:space="0"/>
                  <w:bottom w:val="single" w:color="0070C0" w:sz="8" w:space="0"/>
                  <w:right w:val="single" w:color="0070C0" w:sz="8" w:space="0"/>
                  <w:insideH w:val="dotted" w:color="7F7F7F" w:sz="4" w:space="0"/>
                  <w:insideV w:val="dotted" w:color="7F7F7F" w:sz="4" w:space="0"/>
                </w:tblBorders>
                <w:tblCellMar>
                  <w:top w:w="0" w:type="dxa"/>
                  <w:left w:w="108" w:type="dxa"/>
                  <w:bottom w:w="0" w:type="dxa"/>
                  <w:right w:w="108" w:type="dxa"/>
                </w:tblCellMar>
              </w:tblPrEx>
              <w:trPr>
                <w:trHeight w:val="882" w:hRule="atLeast"/>
                <w:jc w:val="center"/>
              </w:trPr>
              <w:tc>
                <w:tcPr>
                  <w:tcW w:w="732" w:type="dxa"/>
                  <w:vMerge w:val="restart"/>
                  <w:tcBorders>
                    <w:left w:val="single" w:color="4F81BD" w:sz="12" w:space="0"/>
                  </w:tcBorders>
                  <w:vAlign w:val="center"/>
                </w:tcPr>
                <w:p>
                  <w:pPr>
                    <w:spacing w:line="300" w:lineRule="exact"/>
                    <w:jc w:val="center"/>
                    <w:rPr>
                      <w:rFonts w:ascii="楷体" w:hAnsi="楷体" w:eastAsia="楷体"/>
                      <w:b/>
                      <w:bCs/>
                      <w:sz w:val="24"/>
                      <w:szCs w:val="24"/>
                    </w:rPr>
                  </w:pPr>
                  <w:r>
                    <w:rPr>
                      <w:rFonts w:hint="eastAsia" w:ascii="楷体" w:hAnsi="楷体" w:eastAsia="楷体"/>
                      <w:b/>
                      <w:bCs/>
                      <w:sz w:val="24"/>
                      <w:szCs w:val="24"/>
                    </w:rPr>
                    <w:t>展示</w:t>
                  </w:r>
                </w:p>
                <w:p>
                  <w:pPr>
                    <w:spacing w:line="300" w:lineRule="exact"/>
                    <w:jc w:val="center"/>
                    <w:rPr>
                      <w:rFonts w:ascii="楷体" w:hAnsi="楷体" w:eastAsia="楷体"/>
                      <w:b/>
                      <w:bCs/>
                      <w:sz w:val="24"/>
                      <w:szCs w:val="24"/>
                    </w:rPr>
                  </w:pPr>
                  <w:r>
                    <w:rPr>
                      <w:rFonts w:hint="eastAsia" w:ascii="楷体" w:hAnsi="楷体" w:eastAsia="楷体"/>
                      <w:b/>
                      <w:bCs/>
                      <w:sz w:val="24"/>
                      <w:szCs w:val="24"/>
                    </w:rPr>
                    <w:t>点评</w:t>
                  </w:r>
                </w:p>
                <w:p>
                  <w:pPr>
                    <w:spacing w:line="300" w:lineRule="exact"/>
                    <w:jc w:val="center"/>
                    <w:rPr>
                      <w:rFonts w:ascii="楷体" w:hAnsi="楷体" w:eastAsia="楷体"/>
                      <w:b/>
                      <w:bCs/>
                      <w:sz w:val="24"/>
                      <w:szCs w:val="24"/>
                    </w:rPr>
                  </w:pPr>
                </w:p>
                <w:p>
                  <w:pPr>
                    <w:spacing w:line="300" w:lineRule="exact"/>
                    <w:jc w:val="center"/>
                    <w:rPr>
                      <w:rFonts w:ascii="楷体" w:hAnsi="楷体" w:eastAsia="楷体"/>
                      <w:szCs w:val="21"/>
                    </w:rPr>
                  </w:pPr>
                  <w:r>
                    <w:rPr>
                      <w:rFonts w:hint="eastAsia" w:ascii="楷体" w:hAnsi="楷体" w:eastAsia="楷体"/>
                      <w:szCs w:val="21"/>
                    </w:rPr>
                    <w:t>22</w:t>
                  </w:r>
                </w:p>
                <w:p>
                  <w:pPr>
                    <w:spacing w:line="300" w:lineRule="exact"/>
                    <w:jc w:val="center"/>
                    <w:rPr>
                      <w:rFonts w:ascii="楷体" w:hAnsi="楷体" w:eastAsia="楷体"/>
                      <w:b/>
                      <w:bCs/>
                      <w:sz w:val="24"/>
                      <w:szCs w:val="24"/>
                    </w:rPr>
                  </w:pPr>
                  <w:r>
                    <w:rPr>
                      <w:rFonts w:hint="eastAsia" w:ascii="楷体" w:hAnsi="楷体" w:eastAsia="楷体"/>
                      <w:szCs w:val="21"/>
                    </w:rPr>
                    <w:t>分钟</w:t>
                  </w:r>
                </w:p>
                <w:p>
                  <w:pPr>
                    <w:spacing w:line="300" w:lineRule="exact"/>
                    <w:jc w:val="center"/>
                    <w:rPr>
                      <w:rFonts w:ascii="楷体" w:hAnsi="楷体" w:eastAsia="楷体"/>
                      <w:b/>
                      <w:bCs/>
                      <w:sz w:val="24"/>
                      <w:szCs w:val="24"/>
                    </w:rPr>
                  </w:pPr>
                  <w:r>
                    <w:rPr>
                      <w:rFonts w:hint="eastAsia" w:ascii="楷体" w:hAnsi="楷体" w:eastAsia="楷体"/>
                      <w:b/>
                      <w:bCs/>
                      <w:color w:val="FFFFFF"/>
                      <w:sz w:val="22"/>
                    </w:rPr>
                    <w:t>22</w:t>
                  </w:r>
                  <w:r>
                    <w:rPr>
                      <w:rFonts w:ascii="微软雅黑" w:hAnsi="微软雅黑" w:eastAsia="微软雅黑"/>
                      <w:b/>
                      <w:bCs/>
                      <w:i/>
                      <w:iCs/>
                      <w:color w:val="FFFFFF"/>
                      <w:sz w:val="22"/>
                    </w:rPr>
                    <w:t>min</w:t>
                  </w:r>
                </w:p>
              </w:tc>
              <w:tc>
                <w:tcPr>
                  <w:tcW w:w="1792" w:type="dxa"/>
                  <w:tcBorders>
                    <w:top w:val="dotted" w:color="auto" w:sz="4" w:space="0"/>
                    <w:bottom w:val="dotted" w:color="0F243E" w:sz="4" w:space="0"/>
                    <w:right w:val="dotted" w:color="auto" w:sz="4" w:space="0"/>
                  </w:tcBorders>
                </w:tcPr>
                <w:p>
                  <w:pPr>
                    <w:spacing w:line="300" w:lineRule="exact"/>
                    <w:rPr>
                      <w:rFonts w:ascii="宋体" w:hAnsi="宋体"/>
                      <w:sz w:val="20"/>
                      <w:szCs w:val="20"/>
                    </w:rPr>
                  </w:pPr>
                  <w:r>
                    <w:rPr>
                      <w:rFonts w:hint="eastAsia" w:ascii="宋体" w:hAnsi="宋体"/>
                      <w:sz w:val="20"/>
                      <w:szCs w:val="20"/>
                    </w:rPr>
                    <w:t>①抽查学生的核对表，分享、点评。②引用就业平台项目分析质量问题。③组织学生讨论质量标准对产品和企业的影响。</w:t>
                  </w:r>
                </w:p>
              </w:tc>
              <w:tc>
                <w:tcPr>
                  <w:tcW w:w="1708" w:type="dxa"/>
                  <w:tcBorders>
                    <w:top w:val="dotted" w:color="auto" w:sz="4" w:space="0"/>
                    <w:left w:val="dotted" w:color="auto" w:sz="4" w:space="0"/>
                    <w:bottom w:val="dotted" w:color="0F243E" w:sz="4" w:space="0"/>
                    <w:right w:val="dotted" w:color="auto" w:sz="4" w:space="0"/>
                  </w:tcBorders>
                </w:tcPr>
                <w:p>
                  <w:pPr>
                    <w:spacing w:line="300" w:lineRule="exact"/>
                    <w:rPr>
                      <w:rFonts w:ascii="宋体" w:hAnsi="宋体"/>
                      <w:sz w:val="20"/>
                      <w:szCs w:val="20"/>
                    </w:rPr>
                  </w:pPr>
                  <w:r>
                    <w:rPr>
                      <w:rFonts w:hint="eastAsia" w:ascii="宋体" w:hAnsi="宋体"/>
                      <w:sz w:val="20"/>
                      <w:szCs w:val="20"/>
                    </w:rPr>
                    <w:t>①阅读案例，对典型质量管理方法加深理解。②思考质量标准的获取和执行问题。</w:t>
                  </w:r>
                </w:p>
                <w:p>
                  <w:pPr>
                    <w:spacing w:line="300" w:lineRule="exact"/>
                    <w:rPr>
                      <w:rFonts w:ascii="宋体" w:hAnsi="宋体"/>
                      <w:sz w:val="20"/>
                      <w:szCs w:val="20"/>
                    </w:rPr>
                  </w:pPr>
                </w:p>
              </w:tc>
              <w:tc>
                <w:tcPr>
                  <w:tcW w:w="1721" w:type="dxa"/>
                  <w:tcBorders>
                    <w:top w:val="dotted" w:color="auto" w:sz="4" w:space="0"/>
                    <w:left w:val="dotted" w:color="auto" w:sz="4" w:space="0"/>
                    <w:bottom w:val="dotted" w:color="0F243E" w:sz="4" w:space="0"/>
                    <w:right w:val="single" w:color="4F81BD" w:sz="12" w:space="0"/>
                  </w:tcBorders>
                </w:tcPr>
                <w:p>
                  <w:pPr>
                    <w:spacing w:line="300" w:lineRule="exact"/>
                    <w:rPr>
                      <w:szCs w:val="21"/>
                    </w:rPr>
                  </w:pPr>
                  <w:r>
                    <w:rPr>
                      <w:rFonts w:hint="eastAsia"/>
                      <w:szCs w:val="21"/>
                    </w:rPr>
                    <w:t>案例体现海尔、华为等名企质量管理措施、名匠对质量的追求。</w:t>
                  </w:r>
                </w:p>
                <w:p>
                  <w:pPr>
                    <w:spacing w:line="300" w:lineRule="exact"/>
                    <w:rPr>
                      <w:rFonts w:ascii="宋体" w:hAnsi="宋体"/>
                      <w:sz w:val="20"/>
                      <w:szCs w:val="20"/>
                    </w:rPr>
                  </w:pPr>
                  <w:r>
                    <w:rPr>
                      <w:rFonts w:hint="eastAsia"/>
                      <w:szCs w:val="21"/>
                    </w:rPr>
                    <w:t>引导学生重视质量、操作规程，形成内化观念。</w:t>
                  </w:r>
                </w:p>
              </w:tc>
            </w:tr>
            <w:tr>
              <w:tblPrEx>
                <w:tblBorders>
                  <w:top w:val="single" w:color="0070C0" w:sz="8" w:space="0"/>
                  <w:left w:val="single" w:color="0070C0" w:sz="8" w:space="0"/>
                  <w:bottom w:val="single" w:color="0070C0" w:sz="8" w:space="0"/>
                  <w:right w:val="single" w:color="0070C0" w:sz="8" w:space="0"/>
                  <w:insideH w:val="dotted" w:color="7F7F7F" w:sz="4" w:space="0"/>
                  <w:insideV w:val="dotted" w:color="7F7F7F" w:sz="4" w:space="0"/>
                </w:tblBorders>
                <w:tblCellMar>
                  <w:top w:w="0" w:type="dxa"/>
                  <w:left w:w="108" w:type="dxa"/>
                  <w:bottom w:w="0" w:type="dxa"/>
                  <w:right w:w="108" w:type="dxa"/>
                </w:tblCellMar>
              </w:tblPrEx>
              <w:trPr>
                <w:trHeight w:val="90" w:hRule="atLeast"/>
                <w:jc w:val="center"/>
              </w:trPr>
              <w:tc>
                <w:tcPr>
                  <w:tcW w:w="732" w:type="dxa"/>
                  <w:vMerge w:val="continue"/>
                  <w:tcBorders>
                    <w:left w:val="single" w:color="4F81BD" w:sz="12" w:space="0"/>
                  </w:tcBorders>
                  <w:vAlign w:val="center"/>
                </w:tcPr>
                <w:p>
                  <w:pPr>
                    <w:spacing w:line="300" w:lineRule="exact"/>
                    <w:jc w:val="center"/>
                    <w:rPr>
                      <w:rFonts w:ascii="楷体" w:hAnsi="楷体" w:eastAsia="楷体"/>
                      <w:b/>
                      <w:bCs/>
                      <w:sz w:val="24"/>
                      <w:szCs w:val="24"/>
                    </w:rPr>
                  </w:pPr>
                </w:p>
              </w:tc>
              <w:tc>
                <w:tcPr>
                  <w:tcW w:w="5221" w:type="dxa"/>
                  <w:gridSpan w:val="3"/>
                  <w:tcBorders>
                    <w:top w:val="dotted" w:color="auto" w:sz="4" w:space="0"/>
                    <w:bottom w:val="dotted" w:color="0F243E" w:sz="4" w:space="0"/>
                    <w:right w:val="single" w:color="4F81BD" w:sz="12" w:space="0"/>
                  </w:tcBorders>
                  <w:vAlign w:val="center"/>
                </w:tcPr>
                <w:p>
                  <w:pPr>
                    <w:spacing w:line="300" w:lineRule="exact"/>
                    <w:rPr>
                      <w:rFonts w:ascii="宋体" w:hAnsi="宋体"/>
                      <w:sz w:val="20"/>
                      <w:szCs w:val="20"/>
                    </w:rPr>
                  </w:pPr>
                  <w:r>
                    <w:rPr>
                      <w:rFonts w:ascii="Times New Roman" w:hAnsi="Times New Roman"/>
                      <w:szCs w:val="21"/>
                    </w:rPr>
                    <w:drawing>
                      <wp:anchor distT="0" distB="0" distL="114300" distR="114300" simplePos="0" relativeHeight="251667456" behindDoc="0" locked="0" layoutInCell="1" allowOverlap="1">
                        <wp:simplePos x="0" y="0"/>
                        <wp:positionH relativeFrom="column">
                          <wp:posOffset>628650</wp:posOffset>
                        </wp:positionH>
                        <wp:positionV relativeFrom="paragraph">
                          <wp:posOffset>53975</wp:posOffset>
                        </wp:positionV>
                        <wp:extent cx="1889760" cy="1457960"/>
                        <wp:effectExtent l="0" t="0" r="0" b="8890"/>
                        <wp:wrapTopAndBottom/>
                        <wp:docPr id="11" name="图片 1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3"/>
                                <pic:cNvPicPr>
                                  <a:picLocks noChangeAspect="1" noChangeArrowheads="1"/>
                                </pic:cNvPicPr>
                              </pic:nvPicPr>
                              <pic:blipFill>
                                <a:blip r:embed="rId16">
                                  <a:lum bright="18000"/>
                                  <a:extLst>
                                    <a:ext uri="{28A0092B-C50C-407E-A947-70E740481C1C}">
                                      <a14:useLocalDpi xmlns:a14="http://schemas.microsoft.com/office/drawing/2010/main" val="0"/>
                                    </a:ext>
                                  </a:extLst>
                                </a:blip>
                                <a:srcRect l="3249"/>
                                <a:stretch>
                                  <a:fillRect/>
                                </a:stretch>
                              </pic:blipFill>
                              <pic:spPr>
                                <a:xfrm>
                                  <a:off x="0" y="0"/>
                                  <a:ext cx="1889760" cy="1457960"/>
                                </a:xfrm>
                                <a:prstGeom prst="rect">
                                  <a:avLst/>
                                </a:prstGeom>
                                <a:noFill/>
                                <a:ln>
                                  <a:noFill/>
                                </a:ln>
                              </pic:spPr>
                            </pic:pic>
                          </a:graphicData>
                        </a:graphic>
                      </wp:anchor>
                    </w:drawing>
                  </w:r>
                </w:p>
              </w:tc>
            </w:tr>
            <w:tr>
              <w:tblPrEx>
                <w:tblBorders>
                  <w:top w:val="single" w:color="0070C0" w:sz="8" w:space="0"/>
                  <w:left w:val="single" w:color="0070C0" w:sz="8" w:space="0"/>
                  <w:bottom w:val="single" w:color="0070C0" w:sz="8" w:space="0"/>
                  <w:right w:val="single" w:color="0070C0" w:sz="8" w:space="0"/>
                  <w:insideH w:val="dotted" w:color="7F7F7F" w:sz="4" w:space="0"/>
                  <w:insideV w:val="dotted" w:color="7F7F7F" w:sz="4" w:space="0"/>
                </w:tblBorders>
                <w:tblCellMar>
                  <w:top w:w="0" w:type="dxa"/>
                  <w:left w:w="108" w:type="dxa"/>
                  <w:bottom w:w="0" w:type="dxa"/>
                  <w:right w:w="108" w:type="dxa"/>
                </w:tblCellMar>
              </w:tblPrEx>
              <w:trPr>
                <w:trHeight w:val="529" w:hRule="atLeast"/>
                <w:jc w:val="center"/>
              </w:trPr>
              <w:tc>
                <w:tcPr>
                  <w:tcW w:w="732" w:type="dxa"/>
                  <w:tcBorders>
                    <w:top w:val="dotted" w:color="auto" w:sz="4" w:space="0"/>
                    <w:left w:val="single" w:color="4F81BD" w:sz="12" w:space="0"/>
                    <w:bottom w:val="dotted" w:color="1D5739" w:sz="4"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环节</w:t>
                  </w:r>
                </w:p>
              </w:tc>
              <w:tc>
                <w:tcPr>
                  <w:tcW w:w="1792" w:type="dxa"/>
                  <w:tcBorders>
                    <w:top w:val="dotted" w:color="auto" w:sz="4" w:space="0"/>
                    <w:bottom w:val="dotted" w:color="0F243E" w:sz="4" w:space="0"/>
                    <w:right w:val="dotted" w:color="0F243E" w:sz="4"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教师活动</w:t>
                  </w:r>
                </w:p>
              </w:tc>
              <w:tc>
                <w:tcPr>
                  <w:tcW w:w="1708" w:type="dxa"/>
                  <w:tcBorders>
                    <w:top w:val="dotted" w:color="0F243E" w:sz="4" w:space="0"/>
                    <w:left w:val="dotted" w:color="0F243E" w:sz="4" w:space="0"/>
                    <w:bottom w:val="dotted" w:color="0F243E" w:sz="4" w:space="0"/>
                    <w:right w:val="dotted" w:color="0F243E" w:sz="4"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学生活动</w:t>
                  </w:r>
                </w:p>
              </w:tc>
              <w:tc>
                <w:tcPr>
                  <w:tcW w:w="1721" w:type="dxa"/>
                  <w:tcBorders>
                    <w:top w:val="dotted" w:color="0F243E" w:sz="4" w:space="0"/>
                    <w:left w:val="dotted" w:color="0F243E" w:sz="4" w:space="0"/>
                    <w:bottom w:val="dotted" w:color="auto" w:sz="4" w:space="0"/>
                    <w:right w:val="single" w:color="4F81BD" w:sz="12"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思政活动</w:t>
                  </w:r>
                </w:p>
              </w:tc>
            </w:tr>
            <w:tr>
              <w:tblPrEx>
                <w:tblBorders>
                  <w:top w:val="single" w:color="0070C0" w:sz="8" w:space="0"/>
                  <w:left w:val="single" w:color="0070C0" w:sz="8" w:space="0"/>
                  <w:bottom w:val="single" w:color="0070C0" w:sz="8" w:space="0"/>
                  <w:right w:val="single" w:color="0070C0" w:sz="8" w:space="0"/>
                  <w:insideH w:val="dotted" w:color="7F7F7F" w:sz="4" w:space="0"/>
                  <w:insideV w:val="dotted" w:color="7F7F7F" w:sz="4" w:space="0"/>
                </w:tblBorders>
                <w:tblCellMar>
                  <w:top w:w="0" w:type="dxa"/>
                  <w:left w:w="108" w:type="dxa"/>
                  <w:bottom w:w="0" w:type="dxa"/>
                  <w:right w:w="108" w:type="dxa"/>
                </w:tblCellMar>
              </w:tblPrEx>
              <w:trPr>
                <w:trHeight w:val="1010" w:hRule="atLeast"/>
                <w:jc w:val="center"/>
              </w:trPr>
              <w:tc>
                <w:tcPr>
                  <w:tcW w:w="732" w:type="dxa"/>
                  <w:vMerge w:val="restart"/>
                  <w:tcBorders>
                    <w:top w:val="dotted" w:color="1D5739" w:sz="4" w:space="0"/>
                    <w:left w:val="single" w:color="4F81BD" w:sz="12" w:space="0"/>
                  </w:tcBorders>
                  <w:vAlign w:val="center"/>
                </w:tcPr>
                <w:p>
                  <w:pPr>
                    <w:spacing w:line="300" w:lineRule="exact"/>
                    <w:jc w:val="center"/>
                    <w:rPr>
                      <w:rFonts w:ascii="楷体" w:hAnsi="楷体" w:eastAsia="楷体"/>
                      <w:b/>
                      <w:bCs/>
                      <w:sz w:val="24"/>
                      <w:szCs w:val="24"/>
                    </w:rPr>
                  </w:pPr>
                  <w:r>
                    <w:rPr>
                      <w:rFonts w:hint="eastAsia" w:ascii="楷体" w:hAnsi="楷体" w:eastAsia="楷体"/>
                      <w:b/>
                      <w:bCs/>
                      <w:sz w:val="24"/>
                      <w:szCs w:val="24"/>
                    </w:rPr>
                    <w:t>演示</w:t>
                  </w:r>
                </w:p>
                <w:p>
                  <w:pPr>
                    <w:spacing w:line="300" w:lineRule="exact"/>
                    <w:jc w:val="center"/>
                    <w:rPr>
                      <w:rFonts w:ascii="楷体" w:hAnsi="楷体" w:eastAsia="楷体"/>
                      <w:b/>
                      <w:bCs/>
                      <w:sz w:val="24"/>
                      <w:szCs w:val="24"/>
                    </w:rPr>
                  </w:pPr>
                  <w:r>
                    <w:rPr>
                      <w:rFonts w:hint="eastAsia" w:ascii="楷体" w:hAnsi="楷体" w:eastAsia="楷体"/>
                      <w:b/>
                      <w:bCs/>
                      <w:sz w:val="24"/>
                      <w:szCs w:val="24"/>
                    </w:rPr>
                    <w:t>实操</w:t>
                  </w:r>
                </w:p>
                <w:p>
                  <w:pPr>
                    <w:spacing w:line="300" w:lineRule="exact"/>
                    <w:jc w:val="center"/>
                    <w:rPr>
                      <w:rFonts w:ascii="楷体" w:hAnsi="楷体" w:eastAsia="楷体"/>
                      <w:b/>
                      <w:bCs/>
                      <w:sz w:val="24"/>
                      <w:szCs w:val="24"/>
                    </w:rPr>
                  </w:pPr>
                </w:p>
                <w:p>
                  <w:pPr>
                    <w:spacing w:line="300" w:lineRule="exact"/>
                    <w:jc w:val="center"/>
                    <w:rPr>
                      <w:rFonts w:ascii="楷体" w:hAnsi="楷体" w:eastAsia="楷体"/>
                      <w:szCs w:val="21"/>
                    </w:rPr>
                  </w:pPr>
                  <w:r>
                    <w:rPr>
                      <w:rFonts w:hint="eastAsia" w:ascii="楷体" w:hAnsi="楷体" w:eastAsia="楷体"/>
                      <w:szCs w:val="21"/>
                    </w:rPr>
                    <w:t>25</w:t>
                  </w:r>
                </w:p>
                <w:p>
                  <w:pPr>
                    <w:spacing w:line="300" w:lineRule="exact"/>
                    <w:jc w:val="center"/>
                    <w:rPr>
                      <w:rFonts w:ascii="楷体" w:hAnsi="楷体" w:eastAsia="楷体"/>
                      <w:b/>
                      <w:bCs/>
                      <w:sz w:val="24"/>
                      <w:szCs w:val="24"/>
                    </w:rPr>
                  </w:pPr>
                  <w:r>
                    <w:rPr>
                      <w:rFonts w:hint="eastAsia" w:ascii="楷体" w:hAnsi="楷体" w:eastAsia="楷体"/>
                      <w:szCs w:val="21"/>
                    </w:rPr>
                    <w:t>分钟</w:t>
                  </w:r>
                </w:p>
                <w:p>
                  <w:pPr>
                    <w:spacing w:line="300" w:lineRule="exact"/>
                    <w:jc w:val="center"/>
                    <w:rPr>
                      <w:rFonts w:ascii="楷体" w:hAnsi="楷体" w:eastAsia="楷体"/>
                      <w:b/>
                      <w:bCs/>
                      <w:color w:val="FFFFFF"/>
                      <w:sz w:val="24"/>
                      <w:szCs w:val="24"/>
                    </w:rPr>
                  </w:pPr>
                  <w:r>
                    <w:rPr>
                      <w:rFonts w:hint="eastAsia" w:ascii="楷体" w:hAnsi="楷体" w:eastAsia="楷体"/>
                      <w:b/>
                      <w:bCs/>
                      <w:color w:val="FFFFFF"/>
                      <w:sz w:val="22"/>
                    </w:rPr>
                    <w:t>25</w:t>
                  </w:r>
                  <w:r>
                    <w:rPr>
                      <w:rFonts w:ascii="微软雅黑" w:hAnsi="微软雅黑" w:eastAsia="微软雅黑"/>
                      <w:b/>
                      <w:bCs/>
                      <w:i/>
                      <w:iCs/>
                      <w:color w:val="FFFFFF"/>
                      <w:sz w:val="22"/>
                    </w:rPr>
                    <w:t>min</w:t>
                  </w:r>
                </w:p>
              </w:tc>
              <w:tc>
                <w:tcPr>
                  <w:tcW w:w="1792" w:type="dxa"/>
                  <w:tcBorders>
                    <w:top w:val="dotted" w:color="0F243E" w:sz="4" w:space="0"/>
                    <w:bottom w:val="dotted" w:color="auto" w:sz="4" w:space="0"/>
                    <w:right w:val="dotted" w:color="0F243E" w:sz="4" w:space="0"/>
                  </w:tcBorders>
                </w:tcPr>
                <w:p>
                  <w:pPr>
                    <w:spacing w:line="300" w:lineRule="exact"/>
                  </w:pPr>
                  <w:r>
                    <w:rPr>
                      <w:rFonts w:hint="eastAsia" w:ascii="宋体" w:hAnsi="宋体"/>
                      <w:sz w:val="20"/>
                      <w:szCs w:val="20"/>
                    </w:rPr>
                    <w:t>①</w:t>
                  </w:r>
                  <w:r>
                    <w:rPr>
                      <w:rFonts w:hint="eastAsia"/>
                    </w:rPr>
                    <w:t>讲授因果图等工具的技术要点。</w:t>
                  </w:r>
                  <w:r>
                    <w:rPr>
                      <w:rFonts w:hint="eastAsia" w:ascii="宋体" w:hAnsi="宋体"/>
                      <w:sz w:val="20"/>
                      <w:szCs w:val="20"/>
                    </w:rPr>
                    <w:t>②</w:t>
                  </w:r>
                  <w:r>
                    <w:rPr>
                      <w:rFonts w:hint="eastAsia"/>
                    </w:rPr>
                    <w:t>引导学生用因果图分析问题。</w:t>
                  </w:r>
                </w:p>
              </w:tc>
              <w:tc>
                <w:tcPr>
                  <w:tcW w:w="1708" w:type="dxa"/>
                  <w:tcBorders>
                    <w:top w:val="dotted" w:color="0F243E" w:sz="4" w:space="0"/>
                    <w:left w:val="dotted" w:color="0F243E" w:sz="4" w:space="0"/>
                    <w:bottom w:val="dotted" w:color="auto" w:sz="4" w:space="0"/>
                    <w:right w:val="dotted" w:color="0F243E" w:sz="4" w:space="0"/>
                  </w:tcBorders>
                </w:tcPr>
                <w:p>
                  <w:pPr>
                    <w:spacing w:line="300" w:lineRule="exact"/>
                    <w:rPr>
                      <w:rFonts w:ascii="宋体" w:hAnsi="宋体"/>
                      <w:bCs/>
                      <w:sz w:val="20"/>
                      <w:szCs w:val="20"/>
                    </w:rPr>
                  </w:pPr>
                  <w:r>
                    <w:rPr>
                      <w:rFonts w:hint="eastAsia" w:ascii="宋体" w:hAnsi="宋体"/>
                      <w:sz w:val="20"/>
                      <w:szCs w:val="20"/>
                    </w:rPr>
                    <w:t>①</w:t>
                  </w:r>
                  <w:r>
                    <w:rPr>
                      <w:rFonts w:hint="eastAsia" w:ascii="宋体" w:hAnsi="宋体"/>
                      <w:bCs/>
                      <w:sz w:val="20"/>
                      <w:szCs w:val="20"/>
                    </w:rPr>
                    <w:t>掌握制图方法。</w:t>
                  </w:r>
                  <w:r>
                    <w:rPr>
                      <w:rFonts w:hint="eastAsia" w:ascii="宋体" w:hAnsi="宋体"/>
                      <w:sz w:val="20"/>
                      <w:szCs w:val="20"/>
                    </w:rPr>
                    <w:t>②</w:t>
                  </w:r>
                  <w:r>
                    <w:rPr>
                      <w:rFonts w:hint="eastAsia" w:ascii="宋体" w:hAnsi="宋体"/>
                      <w:bCs/>
                      <w:sz w:val="20"/>
                      <w:szCs w:val="20"/>
                    </w:rPr>
                    <w:t>完成练习，在一个项目中运用工具分析质量问题。</w:t>
                  </w:r>
                </w:p>
              </w:tc>
              <w:tc>
                <w:tcPr>
                  <w:tcW w:w="1721" w:type="dxa"/>
                  <w:tcBorders>
                    <w:top w:val="dotted" w:color="auto" w:sz="4" w:space="0"/>
                    <w:left w:val="dotted" w:color="0F243E" w:sz="4" w:space="0"/>
                    <w:bottom w:val="dotted" w:color="auto" w:sz="4" w:space="0"/>
                    <w:right w:val="single" w:color="4F81BD" w:sz="12" w:space="0"/>
                  </w:tcBorders>
                </w:tcPr>
                <w:p>
                  <w:pPr>
                    <w:spacing w:line="300" w:lineRule="exact"/>
                    <w:rPr>
                      <w:rFonts w:ascii="宋体" w:hAnsi="宋体"/>
                      <w:b/>
                      <w:sz w:val="20"/>
                      <w:szCs w:val="20"/>
                    </w:rPr>
                  </w:pPr>
                  <w:r>
                    <w:rPr>
                      <w:rFonts w:hint="eastAsia" w:ascii="宋体" w:hAnsi="宋体"/>
                      <w:bCs/>
                      <w:sz w:val="20"/>
                      <w:szCs w:val="20"/>
                    </w:rPr>
                    <w:t>探索创新，精益求精，培养大局观念，运用质量管理工具方法解决实际问题。</w:t>
                  </w:r>
                </w:p>
              </w:tc>
            </w:tr>
            <w:tr>
              <w:tblPrEx>
                <w:tblBorders>
                  <w:top w:val="single" w:color="0070C0" w:sz="8" w:space="0"/>
                  <w:left w:val="single" w:color="0070C0" w:sz="8" w:space="0"/>
                  <w:bottom w:val="single" w:color="0070C0" w:sz="8" w:space="0"/>
                  <w:right w:val="single" w:color="0070C0" w:sz="8" w:space="0"/>
                  <w:insideH w:val="dotted" w:color="7F7F7F" w:sz="4" w:space="0"/>
                  <w:insideV w:val="dotted" w:color="7F7F7F" w:sz="4" w:space="0"/>
                </w:tblBorders>
                <w:tblCellMar>
                  <w:top w:w="0" w:type="dxa"/>
                  <w:left w:w="108" w:type="dxa"/>
                  <w:bottom w:w="0" w:type="dxa"/>
                  <w:right w:w="108" w:type="dxa"/>
                </w:tblCellMar>
              </w:tblPrEx>
              <w:trPr>
                <w:trHeight w:val="90" w:hRule="atLeast"/>
                <w:jc w:val="center"/>
              </w:trPr>
              <w:tc>
                <w:tcPr>
                  <w:tcW w:w="732" w:type="dxa"/>
                  <w:vMerge w:val="continue"/>
                  <w:tcBorders>
                    <w:left w:val="single" w:color="4F81BD" w:sz="12" w:space="0"/>
                    <w:bottom w:val="dotted" w:color="auto" w:sz="4" w:space="0"/>
                  </w:tcBorders>
                  <w:vAlign w:val="center"/>
                </w:tcPr>
                <w:p>
                  <w:pPr>
                    <w:spacing w:line="300" w:lineRule="exact"/>
                    <w:jc w:val="center"/>
                    <w:rPr>
                      <w:rFonts w:ascii="楷体" w:hAnsi="楷体" w:eastAsia="楷体"/>
                      <w:b/>
                      <w:bCs/>
                      <w:sz w:val="24"/>
                      <w:szCs w:val="24"/>
                    </w:rPr>
                  </w:pPr>
                </w:p>
              </w:tc>
              <w:tc>
                <w:tcPr>
                  <w:tcW w:w="5221" w:type="dxa"/>
                  <w:gridSpan w:val="3"/>
                  <w:tcBorders>
                    <w:top w:val="dotted" w:color="0F243E" w:sz="4" w:space="0"/>
                    <w:bottom w:val="dotted" w:color="auto" w:sz="4" w:space="0"/>
                    <w:right w:val="single" w:color="4F81BD" w:sz="12" w:space="0"/>
                  </w:tcBorders>
                  <w:vAlign w:val="center"/>
                </w:tcPr>
                <w:p>
                  <w:pPr>
                    <w:jc w:val="center"/>
                    <w:rPr>
                      <w:rFonts w:ascii="宋体" w:hAnsi="宋体"/>
                      <w:bCs/>
                      <w:sz w:val="20"/>
                      <w:szCs w:val="20"/>
                    </w:rPr>
                  </w:pPr>
                  <w:r>
                    <w:rPr>
                      <w:sz w:val="20"/>
                    </w:rPr>
                    <w:drawing>
                      <wp:anchor distT="0" distB="0" distL="114300" distR="114300" simplePos="0" relativeHeight="251668480" behindDoc="0" locked="0" layoutInCell="1" allowOverlap="1">
                        <wp:simplePos x="0" y="0"/>
                        <wp:positionH relativeFrom="column">
                          <wp:posOffset>600075</wp:posOffset>
                        </wp:positionH>
                        <wp:positionV relativeFrom="paragraph">
                          <wp:posOffset>116205</wp:posOffset>
                        </wp:positionV>
                        <wp:extent cx="1922145" cy="1335405"/>
                        <wp:effectExtent l="0" t="0" r="1905" b="0"/>
                        <wp:wrapTopAndBottom/>
                        <wp:docPr id="12" name="图片 12" descr="展示操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展示操练"/>
                                <pic:cNvPicPr>
                                  <a:picLocks noChangeAspect="1" noChangeArrowheads="1"/>
                                </pic:cNvPicPr>
                              </pic:nvPicPr>
                              <pic:blipFill>
                                <a:blip r:embed="rId17">
                                  <a:lum bright="12000"/>
                                  <a:extLst>
                                    <a:ext uri="{28A0092B-C50C-407E-A947-70E740481C1C}">
                                      <a14:useLocalDpi xmlns:a14="http://schemas.microsoft.com/office/drawing/2010/main" val="0"/>
                                    </a:ext>
                                  </a:extLst>
                                </a:blip>
                                <a:srcRect/>
                                <a:stretch>
                                  <a:fillRect/>
                                </a:stretch>
                              </pic:blipFill>
                              <pic:spPr>
                                <a:xfrm>
                                  <a:off x="0" y="0"/>
                                  <a:ext cx="1922145" cy="1335405"/>
                                </a:xfrm>
                                <a:prstGeom prst="rect">
                                  <a:avLst/>
                                </a:prstGeom>
                                <a:noFill/>
                                <a:ln>
                                  <a:noFill/>
                                </a:ln>
                              </pic:spPr>
                            </pic:pic>
                          </a:graphicData>
                        </a:graphic>
                      </wp:anchor>
                    </w:drawing>
                  </w:r>
                </w:p>
              </w:tc>
            </w:tr>
            <w:tr>
              <w:tblPrEx>
                <w:tblBorders>
                  <w:top w:val="single" w:color="0070C0" w:sz="8" w:space="0"/>
                  <w:left w:val="single" w:color="0070C0" w:sz="8" w:space="0"/>
                  <w:bottom w:val="single" w:color="0070C0" w:sz="8" w:space="0"/>
                  <w:right w:val="single" w:color="0070C0" w:sz="8" w:space="0"/>
                  <w:insideH w:val="dotted" w:color="7F7F7F" w:sz="4" w:space="0"/>
                  <w:insideV w:val="dotted" w:color="7F7F7F" w:sz="4" w:space="0"/>
                </w:tblBorders>
                <w:tblCellMar>
                  <w:top w:w="0" w:type="dxa"/>
                  <w:left w:w="108" w:type="dxa"/>
                  <w:bottom w:w="0" w:type="dxa"/>
                  <w:right w:w="108" w:type="dxa"/>
                </w:tblCellMar>
              </w:tblPrEx>
              <w:trPr>
                <w:trHeight w:val="570" w:hRule="atLeast"/>
                <w:jc w:val="center"/>
              </w:trPr>
              <w:tc>
                <w:tcPr>
                  <w:tcW w:w="732" w:type="dxa"/>
                  <w:tcBorders>
                    <w:top w:val="dotted" w:color="auto" w:sz="4" w:space="0"/>
                    <w:left w:val="single" w:color="4F81BD" w:sz="12" w:space="0"/>
                    <w:bottom w:val="dashSmallGap" w:color="7F7F7F" w:sz="4"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环节</w:t>
                  </w:r>
                </w:p>
              </w:tc>
              <w:tc>
                <w:tcPr>
                  <w:tcW w:w="1792" w:type="dxa"/>
                  <w:tcBorders>
                    <w:top w:val="dotted" w:color="auto" w:sz="4" w:space="0"/>
                    <w:bottom w:val="dashSmallGap" w:color="7F7F7F" w:sz="4" w:space="0"/>
                    <w:right w:val="dotted" w:color="auto" w:sz="4"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教师活动</w:t>
                  </w:r>
                </w:p>
              </w:tc>
              <w:tc>
                <w:tcPr>
                  <w:tcW w:w="1708" w:type="dxa"/>
                  <w:tcBorders>
                    <w:top w:val="dotted" w:color="auto" w:sz="4" w:space="0"/>
                    <w:left w:val="dotted" w:color="auto" w:sz="4" w:space="0"/>
                    <w:bottom w:val="dashSmallGap" w:color="7F7F7F" w:sz="4" w:space="0"/>
                    <w:right w:val="dotted" w:color="auto" w:sz="4"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学生活动</w:t>
                  </w:r>
                </w:p>
              </w:tc>
              <w:tc>
                <w:tcPr>
                  <w:tcW w:w="1721" w:type="dxa"/>
                  <w:tcBorders>
                    <w:top w:val="dotted" w:color="auto" w:sz="4" w:space="0"/>
                    <w:left w:val="dotted" w:color="auto" w:sz="4" w:space="0"/>
                    <w:bottom w:val="dashSmallGap" w:color="7F7F7F" w:sz="4" w:space="0"/>
                    <w:right w:val="single" w:color="4F81BD" w:sz="12"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思政活动</w:t>
                  </w:r>
                </w:p>
              </w:tc>
            </w:tr>
            <w:tr>
              <w:tblPrEx>
                <w:tblBorders>
                  <w:top w:val="single" w:color="0070C0" w:sz="8" w:space="0"/>
                  <w:left w:val="single" w:color="0070C0" w:sz="8" w:space="0"/>
                  <w:bottom w:val="single" w:color="0070C0" w:sz="8" w:space="0"/>
                  <w:right w:val="single" w:color="0070C0" w:sz="8" w:space="0"/>
                  <w:insideH w:val="dotted" w:color="7F7F7F" w:sz="4" w:space="0"/>
                  <w:insideV w:val="dotted" w:color="7F7F7F" w:sz="4" w:space="0"/>
                </w:tblBorders>
                <w:tblCellMar>
                  <w:top w:w="0" w:type="dxa"/>
                  <w:left w:w="108" w:type="dxa"/>
                  <w:bottom w:w="0" w:type="dxa"/>
                  <w:right w:w="108" w:type="dxa"/>
                </w:tblCellMar>
              </w:tblPrEx>
              <w:trPr>
                <w:trHeight w:val="1303" w:hRule="atLeast"/>
                <w:jc w:val="center"/>
              </w:trPr>
              <w:tc>
                <w:tcPr>
                  <w:tcW w:w="732" w:type="dxa"/>
                  <w:vMerge w:val="restart"/>
                  <w:tcBorders>
                    <w:top w:val="dashSmallGap" w:color="7F7F7F" w:sz="4" w:space="0"/>
                    <w:left w:val="single" w:color="4F81BD" w:sz="12" w:space="0"/>
                  </w:tcBorders>
                  <w:vAlign w:val="center"/>
                </w:tcPr>
                <w:p>
                  <w:pPr>
                    <w:spacing w:line="300" w:lineRule="exact"/>
                    <w:jc w:val="center"/>
                    <w:rPr>
                      <w:rFonts w:ascii="楷体" w:hAnsi="楷体" w:eastAsia="楷体"/>
                      <w:b/>
                      <w:bCs/>
                      <w:sz w:val="24"/>
                      <w:szCs w:val="24"/>
                    </w:rPr>
                  </w:pPr>
                  <w:r>
                    <w:rPr>
                      <w:rFonts w:hint="eastAsia" w:ascii="楷体" w:hAnsi="楷体" w:eastAsia="楷体"/>
                      <w:b/>
                      <w:bCs/>
                      <w:sz w:val="24"/>
                      <w:szCs w:val="24"/>
                    </w:rPr>
                    <w:t>PK</w:t>
                  </w:r>
                </w:p>
                <w:p>
                  <w:pPr>
                    <w:spacing w:line="300" w:lineRule="exact"/>
                    <w:jc w:val="center"/>
                    <w:rPr>
                      <w:rFonts w:ascii="楷体" w:hAnsi="楷体" w:eastAsia="楷体"/>
                      <w:b/>
                      <w:bCs/>
                      <w:sz w:val="24"/>
                      <w:szCs w:val="24"/>
                    </w:rPr>
                  </w:pPr>
                  <w:r>
                    <w:rPr>
                      <w:rFonts w:hint="eastAsia" w:ascii="楷体" w:hAnsi="楷体" w:eastAsia="楷体"/>
                      <w:b/>
                      <w:bCs/>
                      <w:sz w:val="24"/>
                      <w:szCs w:val="24"/>
                    </w:rPr>
                    <w:t>拓展</w:t>
                  </w:r>
                </w:p>
                <w:p>
                  <w:pPr>
                    <w:spacing w:line="300" w:lineRule="exact"/>
                    <w:jc w:val="center"/>
                    <w:rPr>
                      <w:rFonts w:ascii="楷体" w:hAnsi="楷体" w:eastAsia="楷体"/>
                      <w:b/>
                      <w:bCs/>
                      <w:sz w:val="24"/>
                      <w:szCs w:val="24"/>
                    </w:rPr>
                  </w:pPr>
                </w:p>
                <w:p>
                  <w:pPr>
                    <w:spacing w:line="300" w:lineRule="exact"/>
                    <w:jc w:val="center"/>
                    <w:rPr>
                      <w:rFonts w:ascii="楷体" w:hAnsi="楷体" w:eastAsia="楷体"/>
                      <w:szCs w:val="21"/>
                    </w:rPr>
                  </w:pPr>
                  <w:r>
                    <w:rPr>
                      <w:rFonts w:hint="eastAsia" w:ascii="楷体" w:hAnsi="楷体" w:eastAsia="楷体"/>
                      <w:szCs w:val="21"/>
                    </w:rPr>
                    <w:t>15</w:t>
                  </w:r>
                </w:p>
                <w:p>
                  <w:pPr>
                    <w:spacing w:line="300" w:lineRule="exact"/>
                    <w:jc w:val="center"/>
                    <w:rPr>
                      <w:rFonts w:ascii="楷体" w:hAnsi="楷体" w:eastAsia="楷体"/>
                      <w:szCs w:val="21"/>
                    </w:rPr>
                  </w:pPr>
                  <w:r>
                    <w:rPr>
                      <w:rFonts w:hint="eastAsia" w:ascii="楷体" w:hAnsi="楷体" w:eastAsia="楷体"/>
                      <w:szCs w:val="21"/>
                    </w:rPr>
                    <w:t>分钟</w:t>
                  </w:r>
                </w:p>
                <w:p>
                  <w:pPr>
                    <w:spacing w:line="300" w:lineRule="exact"/>
                    <w:jc w:val="center"/>
                    <w:rPr>
                      <w:rFonts w:ascii="楷体" w:hAnsi="楷体" w:eastAsia="楷体"/>
                      <w:b/>
                      <w:bCs/>
                      <w:sz w:val="24"/>
                      <w:szCs w:val="24"/>
                    </w:rPr>
                  </w:pPr>
                  <w:r>
                    <w:rPr>
                      <w:rFonts w:hint="eastAsia" w:ascii="楷体" w:hAnsi="楷体" w:eastAsia="楷体"/>
                      <w:b/>
                      <w:bCs/>
                      <w:color w:val="FFFFFF"/>
                      <w:sz w:val="22"/>
                    </w:rPr>
                    <w:t>15</w:t>
                  </w:r>
                  <w:r>
                    <w:rPr>
                      <w:rFonts w:ascii="微软雅黑" w:hAnsi="微软雅黑" w:eastAsia="微软雅黑"/>
                      <w:b/>
                      <w:bCs/>
                      <w:i/>
                      <w:iCs/>
                      <w:color w:val="FFFFFF"/>
                      <w:sz w:val="22"/>
                    </w:rPr>
                    <w:t>min</w:t>
                  </w:r>
                </w:p>
              </w:tc>
              <w:tc>
                <w:tcPr>
                  <w:tcW w:w="1792" w:type="dxa"/>
                  <w:tcBorders>
                    <w:top w:val="dashSmallGap" w:color="7F7F7F" w:sz="4" w:space="0"/>
                    <w:bottom w:val="dotted" w:color="auto" w:sz="4" w:space="0"/>
                    <w:right w:val="dotted" w:color="auto" w:sz="4" w:space="0"/>
                  </w:tcBorders>
                  <w:vAlign w:val="center"/>
                </w:tcPr>
                <w:p>
                  <w:pPr>
                    <w:spacing w:line="300" w:lineRule="exact"/>
                    <w:jc w:val="left"/>
                  </w:pPr>
                  <w:r>
                    <w:rPr>
                      <w:rFonts w:hint="eastAsia" w:ascii="宋体" w:hAnsi="宋体"/>
                      <w:sz w:val="20"/>
                      <w:szCs w:val="20"/>
                    </w:rPr>
                    <w:t>①</w:t>
                  </w:r>
                  <w:r>
                    <w:rPr>
                      <w:rFonts w:hint="eastAsia"/>
                    </w:rPr>
                    <w:t>选取学生作品，展示点评，强调互相学习优点。</w:t>
                  </w:r>
                </w:p>
                <w:p>
                  <w:pPr>
                    <w:spacing w:line="300" w:lineRule="exact"/>
                    <w:jc w:val="left"/>
                  </w:pPr>
                  <w:r>
                    <w:rPr>
                      <w:rFonts w:hint="eastAsia" w:ascii="宋体" w:hAnsi="宋体"/>
                      <w:sz w:val="20"/>
                      <w:szCs w:val="20"/>
                    </w:rPr>
                    <w:t>②拓展讲解PDCA循环等技术应用。</w:t>
                  </w:r>
                </w:p>
              </w:tc>
              <w:tc>
                <w:tcPr>
                  <w:tcW w:w="1708" w:type="dxa"/>
                  <w:tcBorders>
                    <w:top w:val="dashSmallGap" w:color="7F7F7F" w:sz="4" w:space="0"/>
                    <w:left w:val="dotted" w:color="auto" w:sz="4" w:space="0"/>
                    <w:bottom w:val="dotted" w:color="auto" w:sz="4" w:space="0"/>
                    <w:right w:val="dotted" w:color="auto" w:sz="4" w:space="0"/>
                  </w:tcBorders>
                  <w:vAlign w:val="center"/>
                </w:tcPr>
                <w:p>
                  <w:pPr>
                    <w:spacing w:line="300" w:lineRule="exact"/>
                    <w:jc w:val="left"/>
                  </w:pPr>
                  <w:r>
                    <w:rPr>
                      <w:rFonts w:hint="eastAsia"/>
                    </w:rPr>
                    <w:t>学生相互借鉴、讨论，促进理解，提高水平。</w:t>
                  </w:r>
                </w:p>
                <w:p>
                  <w:pPr>
                    <w:jc w:val="center"/>
                  </w:pPr>
                </w:p>
              </w:tc>
              <w:tc>
                <w:tcPr>
                  <w:tcW w:w="1721" w:type="dxa"/>
                  <w:tcBorders>
                    <w:top w:val="dashSmallGap" w:color="7F7F7F" w:sz="4" w:space="0"/>
                    <w:left w:val="dotted" w:color="auto" w:sz="4" w:space="0"/>
                    <w:bottom w:val="dotted" w:color="auto" w:sz="4" w:space="0"/>
                    <w:right w:val="single" w:color="4F81BD" w:sz="12" w:space="0"/>
                  </w:tcBorders>
                  <w:vAlign w:val="center"/>
                </w:tcPr>
                <w:p>
                  <w:pPr>
                    <w:spacing w:line="300" w:lineRule="exact"/>
                    <w:jc w:val="left"/>
                    <w:rPr>
                      <w:rFonts w:ascii="宋体" w:hAnsi="宋体"/>
                      <w:sz w:val="20"/>
                      <w:szCs w:val="20"/>
                    </w:rPr>
                  </w:pPr>
                  <w:r>
                    <w:rPr>
                      <w:rFonts w:hint="eastAsia" w:ascii="宋体" w:hAnsi="宋体"/>
                      <w:sz w:val="20"/>
                      <w:szCs w:val="20"/>
                    </w:rPr>
                    <w:t>强化学生控制产品质量的重要性，让学生形成良好职业操守思维。</w:t>
                  </w:r>
                </w:p>
              </w:tc>
            </w:tr>
            <w:tr>
              <w:tblPrEx>
                <w:tblBorders>
                  <w:top w:val="single" w:color="0070C0" w:sz="8" w:space="0"/>
                  <w:left w:val="single" w:color="0070C0" w:sz="8" w:space="0"/>
                  <w:bottom w:val="single" w:color="0070C0" w:sz="8" w:space="0"/>
                  <w:right w:val="single" w:color="0070C0" w:sz="8" w:space="0"/>
                  <w:insideH w:val="dotted" w:color="7F7F7F" w:sz="4" w:space="0"/>
                  <w:insideV w:val="dotted" w:color="7F7F7F" w:sz="4" w:space="0"/>
                </w:tblBorders>
                <w:tblCellMar>
                  <w:top w:w="0" w:type="dxa"/>
                  <w:left w:w="108" w:type="dxa"/>
                  <w:bottom w:w="0" w:type="dxa"/>
                  <w:right w:w="108" w:type="dxa"/>
                </w:tblCellMar>
              </w:tblPrEx>
              <w:trPr>
                <w:trHeight w:val="623" w:hRule="atLeast"/>
                <w:jc w:val="center"/>
              </w:trPr>
              <w:tc>
                <w:tcPr>
                  <w:tcW w:w="732" w:type="dxa"/>
                  <w:vMerge w:val="continue"/>
                  <w:tcBorders>
                    <w:left w:val="single" w:color="4F81BD" w:sz="12" w:space="0"/>
                  </w:tcBorders>
                  <w:vAlign w:val="center"/>
                </w:tcPr>
                <w:p>
                  <w:pPr>
                    <w:spacing w:line="300" w:lineRule="exact"/>
                    <w:jc w:val="center"/>
                    <w:rPr>
                      <w:rFonts w:ascii="楷体" w:hAnsi="楷体" w:eastAsia="楷体"/>
                      <w:b/>
                      <w:bCs/>
                      <w:sz w:val="24"/>
                      <w:szCs w:val="24"/>
                    </w:rPr>
                  </w:pPr>
                </w:p>
              </w:tc>
              <w:tc>
                <w:tcPr>
                  <w:tcW w:w="5221" w:type="dxa"/>
                  <w:gridSpan w:val="3"/>
                  <w:tcBorders>
                    <w:top w:val="dashSmallGap" w:color="7F7F7F" w:sz="4" w:space="0"/>
                    <w:bottom w:val="dotted" w:color="auto" w:sz="4" w:space="0"/>
                    <w:right w:val="single" w:color="4F81BD" w:sz="12" w:space="0"/>
                  </w:tcBorders>
                  <w:vAlign w:val="center"/>
                </w:tcPr>
                <w:p>
                  <w:pPr>
                    <w:spacing w:line="300" w:lineRule="exact"/>
                    <w:rPr>
                      <w:rFonts w:ascii="宋体" w:hAnsi="宋体"/>
                      <w:sz w:val="20"/>
                      <w:szCs w:val="20"/>
                    </w:rPr>
                  </w:pPr>
                  <w:r>
                    <w:rPr>
                      <w:rFonts w:hint="eastAsia" w:ascii="宋体" w:hAnsi="宋体"/>
                      <w:sz w:val="20"/>
                      <w:szCs w:val="20"/>
                    </w:rPr>
                    <w:drawing>
                      <wp:anchor distT="0" distB="0" distL="114300" distR="114300" simplePos="0" relativeHeight="251669504" behindDoc="0" locked="0" layoutInCell="1" allowOverlap="1">
                        <wp:simplePos x="0" y="0"/>
                        <wp:positionH relativeFrom="column">
                          <wp:posOffset>619125</wp:posOffset>
                        </wp:positionH>
                        <wp:positionV relativeFrom="paragraph">
                          <wp:posOffset>92710</wp:posOffset>
                        </wp:positionV>
                        <wp:extent cx="1814195" cy="1360805"/>
                        <wp:effectExtent l="0" t="0" r="0" b="0"/>
                        <wp:wrapTopAndBottom/>
                        <wp:docPr id="13" name="图片 1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14195" cy="1360805"/>
                                </a:xfrm>
                                <a:prstGeom prst="rect">
                                  <a:avLst/>
                                </a:prstGeom>
                                <a:noFill/>
                                <a:ln>
                                  <a:noFill/>
                                </a:ln>
                              </pic:spPr>
                            </pic:pic>
                          </a:graphicData>
                        </a:graphic>
                      </wp:anchor>
                    </w:drawing>
                  </w:r>
                </w:p>
              </w:tc>
            </w:tr>
            <w:tr>
              <w:tblPrEx>
                <w:tblBorders>
                  <w:top w:val="single" w:color="0070C0" w:sz="8" w:space="0"/>
                  <w:left w:val="single" w:color="0070C0" w:sz="8" w:space="0"/>
                  <w:bottom w:val="single" w:color="0070C0" w:sz="8" w:space="0"/>
                  <w:right w:val="single" w:color="0070C0" w:sz="8" w:space="0"/>
                  <w:insideH w:val="dotted" w:color="7F7F7F" w:sz="4" w:space="0"/>
                  <w:insideV w:val="dotted" w:color="7F7F7F" w:sz="4" w:space="0"/>
                </w:tblBorders>
                <w:tblCellMar>
                  <w:top w:w="0" w:type="dxa"/>
                  <w:left w:w="108" w:type="dxa"/>
                  <w:bottom w:w="0" w:type="dxa"/>
                  <w:right w:w="108" w:type="dxa"/>
                </w:tblCellMar>
              </w:tblPrEx>
              <w:trPr>
                <w:trHeight w:val="547" w:hRule="atLeast"/>
                <w:jc w:val="center"/>
              </w:trPr>
              <w:tc>
                <w:tcPr>
                  <w:tcW w:w="732" w:type="dxa"/>
                  <w:tcBorders>
                    <w:top w:val="dotted" w:color="auto" w:sz="4" w:space="0"/>
                    <w:left w:val="single" w:color="4F81BD" w:sz="12" w:space="0"/>
                    <w:bottom w:val="dotted" w:color="auto" w:sz="4"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环节</w:t>
                  </w:r>
                </w:p>
              </w:tc>
              <w:tc>
                <w:tcPr>
                  <w:tcW w:w="1792" w:type="dxa"/>
                  <w:tcBorders>
                    <w:top w:val="dotted" w:color="auto" w:sz="4" w:space="0"/>
                    <w:bottom w:val="dotted" w:color="auto" w:sz="4" w:space="0"/>
                    <w:right w:val="dotted" w:color="auto" w:sz="4"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教师活动</w:t>
                  </w:r>
                </w:p>
              </w:tc>
              <w:tc>
                <w:tcPr>
                  <w:tcW w:w="1708" w:type="dxa"/>
                  <w:tcBorders>
                    <w:top w:val="dotted" w:color="auto" w:sz="4" w:space="0"/>
                    <w:left w:val="dotted" w:color="auto" w:sz="4" w:space="0"/>
                    <w:bottom w:val="dotted" w:color="auto" w:sz="4" w:space="0"/>
                    <w:right w:val="dotted" w:color="auto" w:sz="4"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学生活动</w:t>
                  </w:r>
                </w:p>
              </w:tc>
              <w:tc>
                <w:tcPr>
                  <w:tcW w:w="1721" w:type="dxa"/>
                  <w:tcBorders>
                    <w:top w:val="dotted" w:color="auto" w:sz="4" w:space="0"/>
                    <w:left w:val="dotted" w:color="auto" w:sz="4" w:space="0"/>
                    <w:bottom w:val="dotted" w:color="auto" w:sz="4" w:space="0"/>
                    <w:right w:val="single" w:color="4F81BD" w:sz="12" w:space="0"/>
                  </w:tcBorders>
                  <w:shd w:val="clear" w:color="auto" w:fill="E9EFF7"/>
                  <w:vAlign w:val="center"/>
                </w:tcPr>
                <w:p>
                  <w:pPr>
                    <w:spacing w:line="300" w:lineRule="exact"/>
                    <w:jc w:val="center"/>
                    <w:rPr>
                      <w:rFonts w:ascii="宋体" w:hAnsi="宋体" w:cs="宋体"/>
                      <w:bCs/>
                      <w:kern w:val="0"/>
                      <w:sz w:val="20"/>
                      <w:szCs w:val="20"/>
                    </w:rPr>
                  </w:pPr>
                  <w:r>
                    <w:rPr>
                      <w:rFonts w:hint="eastAsia" w:ascii="宋体" w:hAnsi="宋体" w:cs="宋体"/>
                      <w:bCs/>
                      <w:kern w:val="0"/>
                      <w:sz w:val="20"/>
                      <w:szCs w:val="20"/>
                    </w:rPr>
                    <w:t>思政活动</w:t>
                  </w:r>
                </w:p>
              </w:tc>
            </w:tr>
            <w:tr>
              <w:tblPrEx>
                <w:tblBorders>
                  <w:top w:val="single" w:color="0070C0" w:sz="8" w:space="0"/>
                  <w:left w:val="single" w:color="0070C0" w:sz="8" w:space="0"/>
                  <w:bottom w:val="single" w:color="0070C0" w:sz="8" w:space="0"/>
                  <w:right w:val="single" w:color="0070C0" w:sz="8" w:space="0"/>
                  <w:insideH w:val="dotted" w:color="7F7F7F" w:sz="4" w:space="0"/>
                  <w:insideV w:val="dotted" w:color="7F7F7F" w:sz="4" w:space="0"/>
                </w:tblBorders>
                <w:tblCellMar>
                  <w:top w:w="0" w:type="dxa"/>
                  <w:left w:w="108" w:type="dxa"/>
                  <w:bottom w:w="0" w:type="dxa"/>
                  <w:right w:w="108" w:type="dxa"/>
                </w:tblCellMar>
              </w:tblPrEx>
              <w:trPr>
                <w:trHeight w:val="345" w:hRule="atLeast"/>
                <w:jc w:val="center"/>
              </w:trPr>
              <w:tc>
                <w:tcPr>
                  <w:tcW w:w="732" w:type="dxa"/>
                  <w:vMerge w:val="restart"/>
                  <w:tcBorders>
                    <w:top w:val="dotted" w:color="auto" w:sz="4" w:space="0"/>
                    <w:left w:val="single" w:color="4F81BD" w:sz="12" w:space="0"/>
                  </w:tcBorders>
                  <w:vAlign w:val="center"/>
                </w:tcPr>
                <w:p>
                  <w:pPr>
                    <w:spacing w:line="300" w:lineRule="exact"/>
                    <w:jc w:val="center"/>
                    <w:rPr>
                      <w:rFonts w:ascii="楷体" w:hAnsi="楷体" w:eastAsia="楷体"/>
                      <w:b/>
                      <w:bCs/>
                      <w:sz w:val="24"/>
                      <w:szCs w:val="24"/>
                    </w:rPr>
                  </w:pPr>
                  <w:r>
                    <w:rPr>
                      <w:rFonts w:hint="eastAsia" w:ascii="楷体" w:hAnsi="楷体" w:eastAsia="楷体"/>
                      <w:b/>
                      <w:bCs/>
                      <w:sz w:val="24"/>
                      <w:szCs w:val="24"/>
                    </w:rPr>
                    <w:t>总结</w:t>
                  </w:r>
                </w:p>
                <w:p>
                  <w:pPr>
                    <w:spacing w:line="300" w:lineRule="exact"/>
                    <w:jc w:val="center"/>
                    <w:rPr>
                      <w:rFonts w:ascii="楷体" w:hAnsi="楷体" w:eastAsia="楷体"/>
                      <w:b/>
                      <w:bCs/>
                      <w:sz w:val="24"/>
                      <w:szCs w:val="24"/>
                    </w:rPr>
                  </w:pPr>
                </w:p>
                <w:p>
                  <w:pPr>
                    <w:spacing w:line="300" w:lineRule="exact"/>
                    <w:jc w:val="center"/>
                    <w:rPr>
                      <w:rFonts w:ascii="楷体" w:hAnsi="楷体" w:eastAsia="楷体"/>
                      <w:szCs w:val="21"/>
                    </w:rPr>
                  </w:pPr>
                  <w:r>
                    <w:rPr>
                      <w:rFonts w:hint="eastAsia" w:ascii="楷体" w:hAnsi="楷体" w:eastAsia="楷体"/>
                      <w:szCs w:val="21"/>
                    </w:rPr>
                    <w:t>10</w:t>
                  </w:r>
                </w:p>
                <w:p>
                  <w:pPr>
                    <w:spacing w:line="300" w:lineRule="exact"/>
                    <w:jc w:val="center"/>
                    <w:rPr>
                      <w:rFonts w:ascii="楷体" w:hAnsi="楷体" w:eastAsia="楷体"/>
                      <w:szCs w:val="21"/>
                    </w:rPr>
                  </w:pPr>
                  <w:r>
                    <w:rPr>
                      <w:rFonts w:hint="eastAsia" w:ascii="楷体" w:hAnsi="楷体" w:eastAsia="楷体"/>
                      <w:szCs w:val="21"/>
                    </w:rPr>
                    <w:t>分钟</w:t>
                  </w:r>
                </w:p>
                <w:p>
                  <w:pPr>
                    <w:spacing w:line="300" w:lineRule="exact"/>
                    <w:jc w:val="center"/>
                    <w:rPr>
                      <w:rFonts w:ascii="楷体" w:hAnsi="楷体" w:eastAsia="楷体"/>
                      <w:b/>
                      <w:bCs/>
                      <w:color w:val="FFFFFF"/>
                      <w:sz w:val="24"/>
                      <w:szCs w:val="24"/>
                    </w:rPr>
                  </w:pPr>
                  <w:r>
                    <w:rPr>
                      <w:rFonts w:hint="eastAsia" w:ascii="楷体" w:hAnsi="楷体" w:eastAsia="楷体"/>
                      <w:b/>
                      <w:bCs/>
                      <w:color w:val="FFFFFF"/>
                      <w:sz w:val="22"/>
                    </w:rPr>
                    <w:t>10</w:t>
                  </w:r>
                  <w:r>
                    <w:rPr>
                      <w:rFonts w:ascii="微软雅黑" w:hAnsi="微软雅黑" w:eastAsia="微软雅黑"/>
                      <w:b/>
                      <w:bCs/>
                      <w:i/>
                      <w:iCs/>
                      <w:color w:val="FFFFFF"/>
                      <w:sz w:val="22"/>
                    </w:rPr>
                    <w:t>min</w:t>
                  </w:r>
                </w:p>
              </w:tc>
              <w:tc>
                <w:tcPr>
                  <w:tcW w:w="1792" w:type="dxa"/>
                  <w:tcBorders>
                    <w:top w:val="dotted" w:color="auto" w:sz="4" w:space="0"/>
                    <w:bottom w:val="dotted" w:color="auto" w:sz="4" w:space="0"/>
                    <w:right w:val="dotted" w:color="auto" w:sz="4" w:space="0"/>
                  </w:tcBorders>
                </w:tcPr>
                <w:p>
                  <w:pPr>
                    <w:spacing w:line="300" w:lineRule="exact"/>
                    <w:rPr>
                      <w:rFonts w:ascii="宋体" w:hAnsi="宋体"/>
                      <w:sz w:val="20"/>
                      <w:szCs w:val="20"/>
                    </w:rPr>
                  </w:pPr>
                  <w:r>
                    <w:rPr>
                      <w:rFonts w:hint="eastAsia" w:ascii="宋体" w:hAnsi="宋体"/>
                      <w:sz w:val="20"/>
                      <w:szCs w:val="20"/>
                    </w:rPr>
                    <w:t>①</w:t>
                  </w:r>
                  <w:r>
                    <w:rPr>
                      <w:rFonts w:hint="eastAsia"/>
                    </w:rPr>
                    <w:t>回顾质量管理工具。</w:t>
                  </w:r>
                  <w:r>
                    <w:rPr>
                      <w:rFonts w:hint="eastAsia" w:ascii="宋体" w:hAnsi="宋体"/>
                      <w:sz w:val="20"/>
                      <w:szCs w:val="20"/>
                    </w:rPr>
                    <w:t>②探讨实训中的技术问题。③回顾质量对国家的重要性，强调工匠精神。④提出新问题，引发预习新教学项目的热情。</w:t>
                  </w:r>
                </w:p>
              </w:tc>
              <w:tc>
                <w:tcPr>
                  <w:tcW w:w="1708" w:type="dxa"/>
                  <w:tcBorders>
                    <w:top w:val="dotted" w:color="auto" w:sz="4" w:space="0"/>
                    <w:left w:val="dotted" w:color="auto" w:sz="4" w:space="0"/>
                    <w:bottom w:val="dotted" w:color="auto" w:sz="4" w:space="0"/>
                    <w:right w:val="dotted" w:color="auto" w:sz="4" w:space="0"/>
                  </w:tcBorders>
                </w:tcPr>
                <w:p>
                  <w:pPr>
                    <w:spacing w:line="300" w:lineRule="exact"/>
                  </w:pPr>
                  <w:r>
                    <w:rPr>
                      <w:rFonts w:hint="eastAsia" w:ascii="宋体" w:hAnsi="宋体"/>
                      <w:sz w:val="20"/>
                      <w:szCs w:val="20"/>
                    </w:rPr>
                    <w:t>①</w:t>
                  </w:r>
                  <w:r>
                    <w:rPr>
                      <w:rFonts w:hint="eastAsia"/>
                    </w:rPr>
                    <w:t>学生以小组为单位，相互讨论坚持质量管理的意义。</w:t>
                  </w:r>
                  <w:r>
                    <w:rPr>
                      <w:rFonts w:hint="eastAsia" w:ascii="宋体" w:hAnsi="宋体"/>
                      <w:sz w:val="20"/>
                      <w:szCs w:val="20"/>
                    </w:rPr>
                    <w:t>②预习新的教学项目。</w:t>
                  </w:r>
                </w:p>
                <w:p>
                  <w:pPr>
                    <w:pStyle w:val="2"/>
                    <w:ind w:firstLine="210"/>
                  </w:pPr>
                </w:p>
              </w:tc>
              <w:tc>
                <w:tcPr>
                  <w:tcW w:w="1721" w:type="dxa"/>
                  <w:tcBorders>
                    <w:top w:val="dotted" w:color="auto" w:sz="4" w:space="0"/>
                    <w:left w:val="dotted" w:color="auto" w:sz="4" w:space="0"/>
                    <w:bottom w:val="dotted" w:color="auto" w:sz="4" w:space="0"/>
                    <w:right w:val="single" w:color="4F81BD" w:sz="12" w:space="0"/>
                  </w:tcBorders>
                </w:tcPr>
                <w:p>
                  <w:pPr>
                    <w:spacing w:line="300" w:lineRule="exact"/>
                    <w:rPr>
                      <w:rFonts w:ascii="宋体" w:hAnsi="宋体"/>
                      <w:sz w:val="20"/>
                      <w:szCs w:val="20"/>
                    </w:rPr>
                  </w:pPr>
                  <w:r>
                    <w:rPr>
                      <w:rFonts w:hint="eastAsia" w:ascii="宋体" w:hAnsi="宋体"/>
                      <w:sz w:val="20"/>
                      <w:szCs w:val="20"/>
                    </w:rPr>
                    <w:t>培养学生的职业道德、技术操守和工匠精神。</w:t>
                  </w:r>
                </w:p>
              </w:tc>
            </w:tr>
            <w:tr>
              <w:tblPrEx>
                <w:tblBorders>
                  <w:top w:val="single" w:color="0070C0" w:sz="8" w:space="0"/>
                  <w:left w:val="single" w:color="0070C0" w:sz="8" w:space="0"/>
                  <w:bottom w:val="single" w:color="0070C0" w:sz="8" w:space="0"/>
                  <w:right w:val="single" w:color="0070C0" w:sz="8" w:space="0"/>
                  <w:insideH w:val="dotted" w:color="7F7F7F" w:sz="4" w:space="0"/>
                  <w:insideV w:val="dotted" w:color="7F7F7F" w:sz="4" w:space="0"/>
                </w:tblBorders>
                <w:tblCellMar>
                  <w:top w:w="0" w:type="dxa"/>
                  <w:left w:w="108" w:type="dxa"/>
                  <w:bottom w:w="0" w:type="dxa"/>
                  <w:right w:w="108" w:type="dxa"/>
                </w:tblCellMar>
              </w:tblPrEx>
              <w:trPr>
                <w:trHeight w:val="1484" w:hRule="atLeast"/>
                <w:jc w:val="center"/>
              </w:trPr>
              <w:tc>
                <w:tcPr>
                  <w:tcW w:w="732" w:type="dxa"/>
                  <w:vMerge w:val="continue"/>
                  <w:tcBorders>
                    <w:left w:val="single" w:color="4F81BD" w:sz="12" w:space="0"/>
                  </w:tcBorders>
                  <w:vAlign w:val="center"/>
                </w:tcPr>
                <w:p>
                  <w:pPr>
                    <w:spacing w:line="300" w:lineRule="exact"/>
                    <w:jc w:val="center"/>
                    <w:rPr>
                      <w:rFonts w:ascii="楷体" w:hAnsi="楷体" w:eastAsia="楷体"/>
                      <w:b/>
                      <w:bCs/>
                      <w:sz w:val="24"/>
                      <w:szCs w:val="24"/>
                    </w:rPr>
                  </w:pPr>
                </w:p>
              </w:tc>
              <w:tc>
                <w:tcPr>
                  <w:tcW w:w="5221" w:type="dxa"/>
                  <w:gridSpan w:val="3"/>
                  <w:tcBorders>
                    <w:top w:val="dotted" w:color="auto" w:sz="4" w:space="0"/>
                    <w:bottom w:val="dotted" w:color="auto" w:sz="4" w:space="0"/>
                    <w:right w:val="single" w:color="4F81BD" w:sz="12" w:space="0"/>
                  </w:tcBorders>
                  <w:vAlign w:val="center"/>
                </w:tcPr>
                <w:p>
                  <w:pPr>
                    <w:widowControl/>
                    <w:rPr>
                      <w:rFonts w:ascii="宋体" w:hAnsi="宋体"/>
                      <w:sz w:val="20"/>
                      <w:szCs w:val="20"/>
                    </w:rPr>
                  </w:pPr>
                  <w:r>
                    <w:drawing>
                      <wp:anchor distT="0" distB="0" distL="114935" distR="114935" simplePos="0" relativeHeight="251672576" behindDoc="0" locked="0" layoutInCell="1" allowOverlap="1">
                        <wp:simplePos x="0" y="0"/>
                        <wp:positionH relativeFrom="column">
                          <wp:posOffset>687070</wp:posOffset>
                        </wp:positionH>
                        <wp:positionV relativeFrom="paragraph">
                          <wp:posOffset>84455</wp:posOffset>
                        </wp:positionV>
                        <wp:extent cx="1821815" cy="1026160"/>
                        <wp:effectExtent l="0" t="0" r="6985" b="2540"/>
                        <wp:wrapTopAndBottom/>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9"/>
                                <a:srcRect l="1599" r="2799" b="17463"/>
                                <a:stretch>
                                  <a:fillRect/>
                                </a:stretch>
                              </pic:blipFill>
                              <pic:spPr>
                                <a:xfrm>
                                  <a:off x="0" y="0"/>
                                  <a:ext cx="1821815" cy="1026160"/>
                                </a:xfrm>
                                <a:prstGeom prst="rect">
                                  <a:avLst/>
                                </a:prstGeom>
                                <a:noFill/>
                                <a:ln>
                                  <a:noFill/>
                                </a:ln>
                              </pic:spPr>
                            </pic:pic>
                          </a:graphicData>
                        </a:graphic>
                      </wp:anchor>
                    </w:drawing>
                  </w:r>
                </w:p>
              </w:tc>
            </w:tr>
          </w:tbl>
          <w:p>
            <w:pPr>
              <w:snapToGrid w:val="0"/>
              <w:spacing w:line="340" w:lineRule="exact"/>
              <w:rPr>
                <w:rFonts w:ascii="仿宋_GB2312" w:hAnsi="仿宋_GB2312" w:eastAsia="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2167" w:type="dxa"/>
            <w:vAlign w:val="center"/>
          </w:tcPr>
          <w:p>
            <w:pPr>
              <w:spacing w:line="340" w:lineRule="exact"/>
              <w:jc w:val="center"/>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建设课程思政优质数字化资源</w:t>
            </w:r>
          </w:p>
        </w:tc>
        <w:tc>
          <w:tcPr>
            <w:tcW w:w="6353" w:type="dxa"/>
          </w:tcPr>
          <w:p>
            <w:pPr>
              <w:widowControl/>
              <w:snapToGrid w:val="0"/>
              <w:spacing w:before="156" w:beforeLines="50" w:after="156" w:afterLines="50" w:line="340" w:lineRule="exact"/>
              <w:ind w:firstLine="482" w:firstLineChars="200"/>
              <w:jc w:val="left"/>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1.建设课程网站，丰富思政内容</w:t>
            </w:r>
          </w:p>
          <w:p>
            <w:pPr>
              <w:widowControl/>
              <w:numPr>
                <w:ilvl w:val="0"/>
                <w:numId w:val="6"/>
              </w:numPr>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成功申报广东省教育厅项目《项目管理精品开放课程建设项目》，基于超星平台重建了课程网站，录制并上线微课</w:t>
            </w:r>
            <w:r>
              <w:rPr>
                <w:rFonts w:hint="eastAsia" w:ascii="仿宋_GB2312" w:hAnsi="仿宋_GB2312" w:eastAsia="仿宋_GB2312" w:cs="仿宋_GB2312"/>
                <w:b/>
                <w:bCs/>
                <w:kern w:val="0"/>
                <w:sz w:val="24"/>
                <w:szCs w:val="24"/>
              </w:rPr>
              <w:t>视频</w:t>
            </w:r>
            <w:r>
              <w:rPr>
                <w:rFonts w:hint="eastAsia" w:ascii="仿宋_GB2312" w:hAnsi="仿宋_GB2312" w:eastAsia="仿宋_GB2312" w:cs="仿宋_GB2312"/>
                <w:kern w:val="0"/>
                <w:sz w:val="24"/>
                <w:szCs w:val="24"/>
              </w:rPr>
              <w:t>71个、</w:t>
            </w:r>
            <w:r>
              <w:rPr>
                <w:rFonts w:hint="eastAsia" w:ascii="仿宋_GB2312" w:hAnsi="仿宋_GB2312" w:eastAsia="仿宋_GB2312" w:cs="仿宋_GB2312"/>
                <w:b/>
                <w:bCs/>
                <w:kern w:val="0"/>
                <w:sz w:val="24"/>
                <w:szCs w:val="24"/>
              </w:rPr>
              <w:t>课件与非视频资源</w:t>
            </w:r>
            <w:r>
              <w:rPr>
                <w:rFonts w:hint="eastAsia" w:ascii="仿宋_GB2312" w:hAnsi="仿宋_GB2312" w:eastAsia="仿宋_GB2312" w:cs="仿宋_GB2312"/>
                <w:kern w:val="0"/>
                <w:sz w:val="24"/>
                <w:szCs w:val="24"/>
              </w:rPr>
              <w:t>295个、</w:t>
            </w:r>
            <w:r>
              <w:rPr>
                <w:rFonts w:hint="eastAsia" w:ascii="仿宋_GB2312" w:hAnsi="仿宋_GB2312" w:eastAsia="仿宋_GB2312" w:cs="仿宋_GB2312"/>
                <w:b/>
                <w:bCs/>
                <w:kern w:val="0"/>
                <w:sz w:val="24"/>
                <w:szCs w:val="24"/>
              </w:rPr>
              <w:t>题库资源</w:t>
            </w:r>
            <w:r>
              <w:rPr>
                <w:rFonts w:hint="eastAsia" w:ascii="仿宋_GB2312" w:hAnsi="仿宋_GB2312" w:eastAsia="仿宋_GB2312" w:cs="仿宋_GB2312"/>
                <w:kern w:val="0"/>
                <w:sz w:val="24"/>
                <w:szCs w:val="24"/>
              </w:rPr>
              <w:t>223道、实训资源12个、试卷10套、图片和文本资源若干。课程网站建立了</w:t>
            </w:r>
            <w:r>
              <w:rPr>
                <w:rFonts w:hint="eastAsia" w:ascii="仿宋_GB2312" w:hAnsi="仿宋_GB2312" w:eastAsia="仿宋_GB2312" w:cs="仿宋_GB2312"/>
                <w:b/>
                <w:bCs/>
                <w:kern w:val="0"/>
                <w:sz w:val="24"/>
                <w:szCs w:val="24"/>
              </w:rPr>
              <w:t>课件库、案例库、知识库、习题库</w:t>
            </w:r>
            <w:r>
              <w:rPr>
                <w:rFonts w:hint="eastAsia" w:ascii="仿宋_GB2312" w:hAnsi="仿宋_GB2312" w:eastAsia="仿宋_GB2312" w:cs="仿宋_GB2312"/>
                <w:kern w:val="0"/>
                <w:sz w:val="24"/>
                <w:szCs w:val="24"/>
              </w:rPr>
              <w:t>等资料库。</w:t>
            </w:r>
          </w:p>
          <w:p>
            <w:pPr>
              <w:widowControl/>
              <w:numPr>
                <w:ilvl w:val="0"/>
                <w:numId w:val="6"/>
              </w:numPr>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课程网站主要单元以及资料库发布了课程思政教育的案例文章、视频等资料，以及课程思政、头脑风暴、学生为中心等方面特色教学指引文件，并结合教学实践不断更新。</w:t>
            </w:r>
          </w:p>
          <w:p>
            <w:pPr>
              <w:pStyle w:val="2"/>
              <w:ind w:firstLine="0" w:firstLineChars="0"/>
              <w:jc w:val="center"/>
              <w:rPr>
                <w:b/>
                <w:bCs/>
              </w:rPr>
            </w:pPr>
            <w:r>
              <w:drawing>
                <wp:anchor distT="0" distB="0" distL="114935" distR="114935" simplePos="0" relativeHeight="251673600" behindDoc="0" locked="0" layoutInCell="1" allowOverlap="1">
                  <wp:simplePos x="0" y="0"/>
                  <wp:positionH relativeFrom="column">
                    <wp:align>center</wp:align>
                  </wp:positionH>
                  <wp:positionV relativeFrom="paragraph">
                    <wp:posOffset>82550</wp:posOffset>
                  </wp:positionV>
                  <wp:extent cx="3452495" cy="2451735"/>
                  <wp:effectExtent l="12700" t="12700" r="14605" b="24765"/>
                  <wp:wrapTopAndBottom/>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0"/>
                          <a:stretch>
                            <a:fillRect/>
                          </a:stretch>
                        </pic:blipFill>
                        <pic:spPr>
                          <a:xfrm>
                            <a:off x="0" y="0"/>
                            <a:ext cx="3452495" cy="2451735"/>
                          </a:xfrm>
                          <a:prstGeom prst="rect">
                            <a:avLst/>
                          </a:prstGeom>
                          <a:noFill/>
                          <a:ln w="12700" cmpd="sng">
                            <a:solidFill>
                              <a:schemeClr val="bg1">
                                <a:lumMod val="75000"/>
                              </a:schemeClr>
                            </a:solidFill>
                            <a:prstDash val="solid"/>
                          </a:ln>
                        </pic:spPr>
                      </pic:pic>
                    </a:graphicData>
                  </a:graphic>
                </wp:anchor>
              </w:drawing>
            </w:r>
            <w:r>
              <w:rPr>
                <w:b/>
                <w:bCs/>
              </w:rPr>
              <w:t>图 7 学银在线网站资源情况</w:t>
            </w:r>
          </w:p>
          <w:p>
            <w:pPr>
              <w:widowControl/>
              <w:snapToGrid w:val="0"/>
              <w:spacing w:before="156" w:beforeLines="50" w:after="156" w:afterLines="50" w:line="340" w:lineRule="exact"/>
              <w:ind w:firstLine="482" w:firstLineChars="200"/>
              <w:jc w:val="left"/>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2.建设思政资源，完善思政库包</w:t>
            </w:r>
          </w:p>
          <w:p>
            <w:pPr>
              <w:widowControl/>
              <w:numPr>
                <w:ilvl w:val="0"/>
                <w:numId w:val="6"/>
              </w:numPr>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项目管理等课程从专业伦理、专业精神、职业道德、行业精神等方面挖掘思政元素，参与思政元素库建设。</w:t>
            </w:r>
          </w:p>
          <w:p>
            <w:pPr>
              <w:widowControl/>
              <w:numPr>
                <w:ilvl w:val="0"/>
                <w:numId w:val="6"/>
              </w:numPr>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项目管理等课程整合图片50个、视频10个、课件与教案一批，形成资源包。</w:t>
            </w:r>
          </w:p>
          <w:p>
            <w:pPr>
              <w:widowControl/>
              <w:snapToGrid w:val="0"/>
              <w:spacing w:before="156" w:beforeLines="50" w:after="156" w:afterLines="50" w:line="340" w:lineRule="exact"/>
              <w:ind w:firstLine="482" w:firstLineChars="200"/>
              <w:jc w:val="left"/>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3.建设共享资源，增强示范作用</w:t>
            </w:r>
          </w:p>
          <w:p>
            <w:pPr>
              <w:widowControl/>
              <w:numPr>
                <w:ilvl w:val="0"/>
                <w:numId w:val="7"/>
              </w:numPr>
              <w:snapToGrid w:val="0"/>
              <w:spacing w:after="156" w:afterLines="50"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项目管理等课程的课程思政资源包已提交专业教研室，共享给本专业群其他课程使用。部分课程思政资源发布到课程思政资源平台，供全国教师检索。</w:t>
            </w:r>
          </w:p>
          <w:p>
            <w:pPr>
              <w:pStyle w:val="2"/>
              <w:ind w:firstLine="0" w:firstLineChars="0"/>
              <w:jc w:val="center"/>
            </w:pPr>
            <w:r>
              <w:drawing>
                <wp:inline distT="0" distB="0" distL="0" distR="0">
                  <wp:extent cx="3556000" cy="2736850"/>
                  <wp:effectExtent l="0" t="0" r="6350" b="635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556000" cy="2736850"/>
                          </a:xfrm>
                          <a:prstGeom prst="rect">
                            <a:avLst/>
                          </a:prstGeom>
                          <a:noFill/>
                          <a:ln>
                            <a:noFill/>
                          </a:ln>
                        </pic:spPr>
                      </pic:pic>
                    </a:graphicData>
                  </a:graphic>
                </wp:inline>
              </w:drawing>
            </w:r>
          </w:p>
          <w:p>
            <w:pPr>
              <w:pStyle w:val="2"/>
              <w:ind w:firstLine="0" w:firstLineChars="0"/>
              <w:jc w:val="center"/>
              <w:rPr>
                <w:b/>
                <w:bCs/>
              </w:rPr>
            </w:pPr>
            <w:r>
              <w:rPr>
                <w:b/>
                <w:bCs/>
              </w:rPr>
              <w:t xml:space="preserve">图 </w:t>
            </w:r>
            <w:r>
              <w:rPr>
                <w:rFonts w:hint="eastAsia"/>
                <w:b/>
                <w:bCs/>
              </w:rPr>
              <w:t>8 全国课程思政资源库平台发布课程资源</w:t>
            </w:r>
          </w:p>
          <w:p>
            <w:pPr>
              <w:snapToGrid w:val="0"/>
              <w:spacing w:after="156" w:afterLines="50" w:line="340" w:lineRule="exact"/>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本课程网站已在学银在线平台发布，支持全国学生网络选修。目前新课程网站校内外班级统计16个，访问学习课程资源学生1083人，其中包含广东交通职业技术学院、宁夏广播电视大学、沈阳工学院等高校远程选修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4" w:hRule="atLeast"/>
        </w:trPr>
        <w:tc>
          <w:tcPr>
            <w:tcW w:w="2167" w:type="dxa"/>
            <w:vAlign w:val="center"/>
          </w:tcPr>
          <w:p>
            <w:pPr>
              <w:spacing w:line="340" w:lineRule="exact"/>
              <w:jc w:val="center"/>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课程思政开展效果</w:t>
            </w:r>
          </w:p>
        </w:tc>
        <w:tc>
          <w:tcPr>
            <w:tcW w:w="6353" w:type="dxa"/>
          </w:tcPr>
          <w:p>
            <w:pPr>
              <w:widowControl/>
              <w:snapToGrid w:val="0"/>
              <w:spacing w:before="156" w:beforeLines="50" w:line="340" w:lineRule="exact"/>
              <w:ind w:firstLine="482" w:firstLineChars="200"/>
              <w:jc w:val="left"/>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1.改进思政融入机制，提升师生素质</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（1）提升教师素养成为推进课程思政建设的关键因素。</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（2）在教学计划从学生主体出发，关注学生的能力目标与情感目标。</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（3）反思教学过程，不断改进思政教育融入课堂教学的设计与实践。</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（4）通过学生参与评价提升课程思政教学成效。</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（5）建立校院级听课督导机制提升课程思政教学质量。</w:t>
            </w:r>
          </w:p>
          <w:p>
            <w:pPr>
              <w:widowControl/>
              <w:snapToGrid w:val="0"/>
              <w:spacing w:before="156" w:beforeLines="50" w:line="340" w:lineRule="exact"/>
              <w:ind w:firstLine="482"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2．结合特色思政设计，教学效果显著</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项目管理》课程以符合本课程特点的方式，来建构开展课程思政的有效路径，实施逆向循环教学法，将一次课的教学过程分为课前，课中，课后。通过任务的分解，引导学生自主解决问题，再利用PK拓展，提出新问题，让学生提前预习下次课的学习任务。同时在课堂教学中有机地融入思政元素，让</w:t>
            </w:r>
            <w:r>
              <w:rPr>
                <w:rFonts w:hint="eastAsia" w:ascii="仿宋_GB2312" w:hAnsi="仿宋_GB2312" w:eastAsia="仿宋_GB2312" w:cs="仿宋_GB2312"/>
                <w:b/>
                <w:bCs/>
                <w:kern w:val="0"/>
                <w:sz w:val="24"/>
                <w:szCs w:val="24"/>
              </w:rPr>
              <w:t>价值塑造</w:t>
            </w:r>
            <w:r>
              <w:rPr>
                <w:rFonts w:hint="eastAsia" w:ascii="仿宋_GB2312" w:hAnsi="仿宋_GB2312" w:eastAsia="仿宋_GB2312" w:cs="仿宋_GB2312"/>
                <w:kern w:val="0"/>
                <w:sz w:val="24"/>
                <w:szCs w:val="24"/>
              </w:rPr>
              <w:t>的成分在课程设计和课堂教学中如盐在水，达到春风化雨、润物无声的育人效果。</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学生寓教于乐，在做中学、学中做，</w:t>
            </w:r>
            <w:r>
              <w:rPr>
                <w:rFonts w:hint="eastAsia" w:ascii="仿宋_GB2312" w:hAnsi="仿宋_GB2312" w:eastAsia="仿宋_GB2312" w:cs="仿宋_GB2312"/>
                <w:b/>
                <w:bCs/>
                <w:kern w:val="0"/>
                <w:sz w:val="24"/>
                <w:szCs w:val="24"/>
              </w:rPr>
              <w:t>学习的积极性和主动性</w:t>
            </w:r>
            <w:r>
              <w:rPr>
                <w:rFonts w:hint="eastAsia" w:ascii="仿宋_GB2312" w:hAnsi="仿宋_GB2312" w:eastAsia="仿宋_GB2312" w:cs="仿宋_GB2312"/>
                <w:kern w:val="0"/>
                <w:sz w:val="24"/>
                <w:szCs w:val="24"/>
              </w:rPr>
              <w:t>大大提高了，能够更加深入的思考问题并踊跃表达自己的观点，提升了教学效果，获得了学生的好评。</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经过这几年课程思政的教学改革，课程教学质量取得了成效，教学评价表现优秀，近年主要教师</w:t>
            </w:r>
            <w:r>
              <w:rPr>
                <w:rFonts w:hint="eastAsia" w:ascii="仿宋_GB2312" w:hAnsi="仿宋_GB2312" w:eastAsia="仿宋_GB2312" w:cs="仿宋_GB2312"/>
                <w:b/>
                <w:bCs/>
                <w:kern w:val="0"/>
                <w:sz w:val="24"/>
                <w:szCs w:val="24"/>
              </w:rPr>
              <w:t>学生评分均在91-94分</w:t>
            </w:r>
            <w:r>
              <w:rPr>
                <w:rFonts w:hint="eastAsia" w:ascii="仿宋_GB2312" w:hAnsi="仿宋_GB2312" w:eastAsia="仿宋_GB2312" w:cs="仿宋_GB2312"/>
                <w:kern w:val="0"/>
                <w:sz w:val="24"/>
                <w:szCs w:val="24"/>
              </w:rPr>
              <w:t>。</w:t>
            </w:r>
          </w:p>
          <w:p>
            <w:pPr>
              <w:widowControl/>
              <w:snapToGrid w:val="0"/>
              <w:spacing w:before="156" w:beforeLines="50" w:line="340" w:lineRule="exact"/>
              <w:ind w:firstLine="482" w:firstLineChars="200"/>
              <w:jc w:val="left"/>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3.讲好课程思政内容，提高学生品质</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（1）根据项目管理课程思政教学情况调查统计，</w:t>
            </w:r>
            <w:r>
              <w:rPr>
                <w:rFonts w:hint="eastAsia" w:ascii="仿宋_GB2312" w:hAnsi="仿宋_GB2312" w:eastAsia="仿宋_GB2312" w:cs="仿宋_GB2312"/>
                <w:b/>
                <w:bCs/>
                <w:kern w:val="0"/>
                <w:sz w:val="24"/>
                <w:szCs w:val="24"/>
              </w:rPr>
              <w:t>课程思政教育受到学生欢迎</w:t>
            </w:r>
            <w:r>
              <w:rPr>
                <w:rFonts w:hint="eastAsia" w:ascii="仿宋_GB2312" w:hAnsi="仿宋_GB2312" w:eastAsia="仿宋_GB2312" w:cs="仿宋_GB2312"/>
                <w:kern w:val="0"/>
                <w:sz w:val="24"/>
                <w:szCs w:val="24"/>
              </w:rPr>
              <w:t>：</w:t>
            </w:r>
          </w:p>
          <w:p>
            <w:pPr>
              <w:widowControl/>
              <w:snapToGrid w:val="0"/>
              <w:spacing w:line="340" w:lineRule="exact"/>
              <w:ind w:firstLine="480" w:firstLineChars="200"/>
              <w:jc w:val="left"/>
              <w:rPr>
                <w:rFonts w:ascii="宋体" w:hAnsi="宋体" w:cs="宋体"/>
                <w:kern w:val="0"/>
                <w:sz w:val="24"/>
                <w:szCs w:val="24"/>
                <w:lang w:bidi="ar"/>
              </w:rPr>
            </w:pPr>
            <w:r>
              <w:rPr>
                <w:rFonts w:ascii="宋体" w:hAnsi="宋体" w:cs="宋体"/>
                <w:kern w:val="0"/>
                <w:sz w:val="24"/>
                <w:szCs w:val="24"/>
              </w:rPr>
              <w:drawing>
                <wp:anchor distT="0" distB="0" distL="114300" distR="114300" simplePos="0" relativeHeight="251670528" behindDoc="0" locked="0" layoutInCell="1" allowOverlap="1">
                  <wp:simplePos x="0" y="0"/>
                  <wp:positionH relativeFrom="column">
                    <wp:posOffset>451485</wp:posOffset>
                  </wp:positionH>
                  <wp:positionV relativeFrom="paragraph">
                    <wp:posOffset>46990</wp:posOffset>
                  </wp:positionV>
                  <wp:extent cx="3178810" cy="1356995"/>
                  <wp:effectExtent l="0" t="0" r="2540" b="0"/>
                  <wp:wrapTopAndBottom/>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178810" cy="1356995"/>
                          </a:xfrm>
                          <a:prstGeom prst="rect">
                            <a:avLst/>
                          </a:prstGeom>
                          <a:noFill/>
                          <a:ln>
                            <a:noFill/>
                          </a:ln>
                        </pic:spPr>
                      </pic:pic>
                    </a:graphicData>
                  </a:graphic>
                </wp:anchor>
              </w:drawing>
            </w:r>
          </w:p>
          <w:p>
            <w:pPr>
              <w:pStyle w:val="2"/>
              <w:widowControl/>
              <w:snapToGrid w:val="0"/>
              <w:spacing w:line="340" w:lineRule="exact"/>
              <w:ind w:firstLine="0" w:firstLineChars="0"/>
              <w:jc w:val="center"/>
              <w:rPr>
                <w:b/>
                <w:bCs/>
              </w:rPr>
            </w:pPr>
            <w:r>
              <w:rPr>
                <w:b/>
                <w:bCs/>
              </w:rPr>
              <w:t>图 9  课程思政教学情况调查（1）</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①课程内容背后的故事、规律以及体现出来的精神</w:t>
            </w:r>
            <w:r>
              <w:rPr>
                <w:rFonts w:hint="eastAsia" w:ascii="仿宋_GB2312" w:hAnsi="仿宋_GB2312" w:eastAsia="仿宋_GB2312" w:cs="仿宋_GB2312"/>
                <w:b/>
                <w:bCs/>
                <w:kern w:val="0"/>
                <w:sz w:val="24"/>
                <w:szCs w:val="24"/>
              </w:rPr>
              <w:t>对学生道德品质的影响程度</w:t>
            </w:r>
            <w:r>
              <w:rPr>
                <w:rFonts w:hint="eastAsia" w:ascii="仿宋_GB2312" w:hAnsi="仿宋_GB2312" w:eastAsia="仿宋_GB2312" w:cs="仿宋_GB2312"/>
                <w:kern w:val="0"/>
                <w:sz w:val="24"/>
                <w:szCs w:val="24"/>
              </w:rPr>
              <w:t>较大的占64%，其中23.34%认为非常大。 ②对于</w:t>
            </w:r>
            <w:r>
              <w:rPr>
                <w:rFonts w:hint="eastAsia" w:ascii="仿宋_GB2312" w:hAnsi="仿宋_GB2312" w:eastAsia="仿宋_GB2312" w:cs="仿宋_GB2312"/>
                <w:b/>
                <w:bCs/>
                <w:kern w:val="0"/>
                <w:sz w:val="24"/>
                <w:szCs w:val="24"/>
              </w:rPr>
              <w:t>专业课程中融入思政元素</w:t>
            </w:r>
            <w:r>
              <w:rPr>
                <w:rFonts w:hint="eastAsia" w:ascii="仿宋_GB2312" w:hAnsi="仿宋_GB2312" w:eastAsia="仿宋_GB2312" w:cs="仿宋_GB2312"/>
                <w:kern w:val="0"/>
                <w:sz w:val="24"/>
                <w:szCs w:val="24"/>
              </w:rPr>
              <w:t>，32.2%的学生认为意义重大、收获颇丰，45.76%的学生认为有一定意义。</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r>
              <w:rPr>
                <w:rFonts w:hint="eastAsia" w:ascii="仿宋_GB2312" w:hAnsi="仿宋_GB2312" w:eastAsia="仿宋_GB2312" w:cs="仿宋_GB2312"/>
                <w:b/>
                <w:bCs/>
                <w:kern w:val="0"/>
                <w:sz w:val="24"/>
                <w:szCs w:val="24"/>
              </w:rPr>
              <w:t>课程思政教育在提升学生品质方面有明显帮助</w:t>
            </w:r>
            <w:r>
              <w:rPr>
                <w:rFonts w:hint="eastAsia" w:ascii="仿宋_GB2312" w:hAnsi="仿宋_GB2312" w:eastAsia="仿宋_GB2312" w:cs="仿宋_GB2312"/>
                <w:kern w:val="0"/>
                <w:sz w:val="24"/>
                <w:szCs w:val="24"/>
              </w:rPr>
              <w:t>：</w:t>
            </w:r>
          </w:p>
          <w:p>
            <w:pPr>
              <w:spacing w:after="156" w:afterLines="50" w:line="340" w:lineRule="exact"/>
              <w:ind w:firstLine="480" w:firstLineChars="200"/>
              <w:jc w:val="center"/>
              <w:rPr>
                <w:b/>
                <w:bCs/>
              </w:rPr>
            </w:pPr>
            <w:r>
              <w:rPr>
                <w:rFonts w:ascii="宋体" w:hAnsi="宋体" w:cs="宋体"/>
                <w:kern w:val="0"/>
                <w:sz w:val="24"/>
                <w:szCs w:val="24"/>
              </w:rPr>
              <w:drawing>
                <wp:anchor distT="0" distB="0" distL="0" distR="0" simplePos="0" relativeHeight="251674624" behindDoc="0" locked="0" layoutInCell="1" allowOverlap="1">
                  <wp:simplePos x="0" y="0"/>
                  <wp:positionH relativeFrom="column">
                    <wp:posOffset>64135</wp:posOffset>
                  </wp:positionH>
                  <wp:positionV relativeFrom="paragraph">
                    <wp:posOffset>181610</wp:posOffset>
                  </wp:positionV>
                  <wp:extent cx="3708400" cy="1028700"/>
                  <wp:effectExtent l="0" t="0" r="6350" b="0"/>
                  <wp:wrapTopAndBottom/>
                  <wp:docPr id="9"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IMG_2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708400" cy="1028700"/>
                          </a:xfrm>
                          <a:prstGeom prst="rect">
                            <a:avLst/>
                          </a:prstGeom>
                          <a:noFill/>
                          <a:ln>
                            <a:noFill/>
                          </a:ln>
                        </pic:spPr>
                      </pic:pic>
                    </a:graphicData>
                  </a:graphic>
                </wp:anchor>
              </w:drawing>
            </w:r>
            <w:r>
              <w:rPr>
                <w:b/>
                <w:bCs/>
              </w:rPr>
              <w:t xml:space="preserve">图 </w:t>
            </w:r>
            <w:r>
              <w:rPr>
                <w:b/>
                <w:bCs/>
              </w:rPr>
              <w:fldChar w:fldCharType="begin"/>
            </w:r>
            <w:r>
              <w:rPr>
                <w:b/>
                <w:bCs/>
              </w:rPr>
              <w:instrText xml:space="preserve"> SEQ 图 \* ARABIC </w:instrText>
            </w:r>
            <w:r>
              <w:rPr>
                <w:b/>
                <w:bCs/>
              </w:rPr>
              <w:fldChar w:fldCharType="separate"/>
            </w:r>
            <w:r>
              <w:rPr>
                <w:b/>
                <w:bCs/>
              </w:rPr>
              <w:t>1</w:t>
            </w:r>
            <w:r>
              <w:rPr>
                <w:b/>
                <w:bCs/>
              </w:rPr>
              <w:fldChar w:fldCharType="end"/>
            </w:r>
            <w:r>
              <w:rPr>
                <w:b/>
                <w:bCs/>
              </w:rPr>
              <w:t>0  课程思政教学情况调查（2）</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①课程教学在提升学生</w:t>
            </w:r>
            <w:r>
              <w:rPr>
                <w:rFonts w:hint="eastAsia" w:ascii="仿宋_GB2312" w:hAnsi="仿宋_GB2312" w:eastAsia="仿宋_GB2312" w:cs="仿宋_GB2312"/>
                <w:b/>
                <w:bCs/>
                <w:kern w:val="0"/>
                <w:sz w:val="24"/>
                <w:szCs w:val="24"/>
              </w:rPr>
              <w:t>爱国主义教育、社会公德、诚信守法、法律意识</w:t>
            </w:r>
            <w:r>
              <w:rPr>
                <w:rFonts w:hint="eastAsia" w:ascii="仿宋_GB2312" w:hAnsi="仿宋_GB2312" w:eastAsia="仿宋_GB2312" w:cs="仿宋_GB2312"/>
                <w:kern w:val="0"/>
                <w:sz w:val="24"/>
                <w:szCs w:val="24"/>
              </w:rPr>
              <w:t>方面的帮助程度较大的占73%，其中25.42%认为非常大。 ②课程教学对学生在</w:t>
            </w:r>
            <w:r>
              <w:rPr>
                <w:rFonts w:hint="eastAsia" w:ascii="仿宋_GB2312" w:hAnsi="仿宋_GB2312" w:eastAsia="仿宋_GB2312" w:cs="仿宋_GB2312"/>
                <w:b/>
                <w:bCs/>
                <w:kern w:val="0"/>
                <w:sz w:val="24"/>
                <w:szCs w:val="24"/>
              </w:rPr>
              <w:t>安全规范、爱岗敬业、守法意识</w:t>
            </w:r>
            <w:r>
              <w:rPr>
                <w:rFonts w:hint="eastAsia" w:ascii="仿宋_GB2312" w:hAnsi="仿宋_GB2312" w:eastAsia="仿宋_GB2312" w:cs="仿宋_GB2312"/>
                <w:kern w:val="0"/>
                <w:sz w:val="24"/>
                <w:szCs w:val="24"/>
              </w:rPr>
              <w:t>方面的帮助程度较大的占71%，其中22.03%认为非常大。  ③课程教学在提升学生的</w:t>
            </w:r>
            <w:r>
              <w:rPr>
                <w:rFonts w:hint="eastAsia" w:ascii="仿宋_GB2312" w:hAnsi="仿宋_GB2312" w:eastAsia="仿宋_GB2312" w:cs="仿宋_GB2312"/>
                <w:b/>
                <w:bCs/>
                <w:kern w:val="0"/>
                <w:sz w:val="24"/>
                <w:szCs w:val="24"/>
              </w:rPr>
              <w:t>职业素养、工匠精神、专业信心</w:t>
            </w:r>
            <w:r>
              <w:rPr>
                <w:rFonts w:hint="eastAsia" w:ascii="仿宋_GB2312" w:hAnsi="仿宋_GB2312" w:eastAsia="仿宋_GB2312" w:cs="仿宋_GB2312"/>
                <w:kern w:val="0"/>
                <w:sz w:val="24"/>
                <w:szCs w:val="24"/>
              </w:rPr>
              <w:t>方面的帮助程度较大的占76%，其中25.42%认为非常大。 ④课程教学在提升学生</w:t>
            </w:r>
            <w:r>
              <w:rPr>
                <w:rFonts w:hint="eastAsia" w:ascii="仿宋_GB2312" w:hAnsi="仿宋_GB2312" w:eastAsia="仿宋_GB2312" w:cs="仿宋_GB2312"/>
                <w:b/>
                <w:bCs/>
                <w:kern w:val="0"/>
                <w:sz w:val="24"/>
                <w:szCs w:val="24"/>
              </w:rPr>
              <w:t>勤于思考、科技创新、文明创新</w:t>
            </w:r>
            <w:r>
              <w:rPr>
                <w:rFonts w:hint="eastAsia" w:ascii="仿宋_GB2312" w:hAnsi="仿宋_GB2312" w:eastAsia="仿宋_GB2312" w:cs="仿宋_GB2312"/>
                <w:kern w:val="0"/>
                <w:sz w:val="24"/>
                <w:szCs w:val="24"/>
              </w:rPr>
              <w:t>方面的帮助程度较大的占75%，其中27.12%认为非常大。 ⑤课程教学在提升学生</w:t>
            </w:r>
            <w:r>
              <w:rPr>
                <w:rFonts w:hint="eastAsia" w:ascii="仿宋_GB2312" w:hAnsi="仿宋_GB2312" w:eastAsia="仿宋_GB2312" w:cs="仿宋_GB2312"/>
                <w:b/>
                <w:bCs/>
                <w:kern w:val="0"/>
                <w:sz w:val="24"/>
                <w:szCs w:val="24"/>
              </w:rPr>
              <w:t>互助精神、团队合作、合作精神</w:t>
            </w:r>
            <w:r>
              <w:rPr>
                <w:rFonts w:hint="eastAsia" w:ascii="仿宋_GB2312" w:hAnsi="仿宋_GB2312" w:eastAsia="仿宋_GB2312" w:cs="仿宋_GB2312"/>
                <w:kern w:val="0"/>
                <w:sz w:val="24"/>
                <w:szCs w:val="24"/>
              </w:rPr>
              <w:t>方面的帮助程度较大的占75%，其中25.42%认为非常大。</w:t>
            </w:r>
          </w:p>
          <w:p>
            <w:pPr>
              <w:widowControl/>
              <w:snapToGrid w:val="0"/>
              <w:spacing w:line="340" w:lineRule="exact"/>
              <w:ind w:firstLine="482"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4.实施学生实践项目，提升技能效果</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（1）团队教师组织学生参加</w:t>
            </w:r>
            <w:r>
              <w:rPr>
                <w:rFonts w:hint="eastAsia" w:ascii="仿宋_GB2312" w:hAnsi="仿宋_GB2312" w:eastAsia="仿宋_GB2312" w:cs="仿宋_GB2312"/>
                <w:b/>
                <w:bCs/>
                <w:kern w:val="0"/>
                <w:sz w:val="24"/>
                <w:szCs w:val="24"/>
              </w:rPr>
              <w:t>广东省职业技能大赛</w:t>
            </w:r>
            <w:r>
              <w:rPr>
                <w:rFonts w:hint="eastAsia" w:ascii="仿宋_GB2312" w:hAnsi="仿宋_GB2312" w:eastAsia="仿宋_GB2312" w:cs="仿宋_GB2312"/>
                <w:kern w:val="0"/>
                <w:sz w:val="24"/>
                <w:szCs w:val="24"/>
              </w:rPr>
              <w:t>，获Web应用软件开发省赛一等奖一个，三等奖2个，小程序应用开发省赛一个，一带一路金砖大赛小程序应用开发国赛二等奖一个；</w:t>
            </w:r>
            <w:r>
              <w:rPr>
                <w:rFonts w:hint="eastAsia" w:ascii="仿宋_GB2312" w:hAnsi="仿宋_GB2312" w:eastAsia="仿宋_GB2312" w:cs="仿宋_GB2312"/>
                <w:b/>
                <w:bCs/>
                <w:kern w:val="0"/>
                <w:sz w:val="24"/>
                <w:szCs w:val="24"/>
              </w:rPr>
              <w:t>蓝桥杯</w:t>
            </w:r>
            <w:r>
              <w:rPr>
                <w:rFonts w:hint="eastAsia" w:ascii="仿宋_GB2312" w:hAnsi="仿宋_GB2312" w:eastAsia="仿宋_GB2312" w:cs="仿宋_GB2312"/>
                <w:kern w:val="0"/>
                <w:sz w:val="24"/>
                <w:szCs w:val="24"/>
              </w:rPr>
              <w:t>软件大赛省赛获奖10余个，国赛获奖2个。</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（2）团队教师组织学生参加</w:t>
            </w:r>
            <w:r>
              <w:rPr>
                <w:rFonts w:hint="eastAsia" w:ascii="仿宋_GB2312" w:hAnsi="仿宋_GB2312" w:eastAsia="仿宋_GB2312" w:cs="仿宋_GB2312"/>
                <w:b/>
                <w:bCs/>
                <w:kern w:val="0"/>
                <w:sz w:val="24"/>
                <w:szCs w:val="24"/>
              </w:rPr>
              <w:t>广东省大学生攀登计划</w:t>
            </w:r>
            <w:r>
              <w:rPr>
                <w:rFonts w:hint="eastAsia" w:ascii="仿宋_GB2312" w:hAnsi="仿宋_GB2312" w:eastAsia="仿宋_GB2312" w:cs="仿宋_GB2312"/>
                <w:kern w:val="0"/>
                <w:sz w:val="24"/>
                <w:szCs w:val="24"/>
              </w:rPr>
              <w:t>，《“迷失无忧”服务平台》等学生科研项目获2万元资助；《大学生健康云管家》等项目成功入选广东</w:t>
            </w:r>
            <w:r>
              <w:rPr>
                <w:rFonts w:hint="eastAsia" w:ascii="仿宋_GB2312" w:hAnsi="仿宋_GB2312" w:eastAsia="仿宋_GB2312" w:cs="仿宋_GB2312"/>
                <w:b/>
                <w:bCs/>
                <w:kern w:val="0"/>
                <w:sz w:val="24"/>
                <w:szCs w:val="24"/>
              </w:rPr>
              <w:t>大学生创新创业训练计划</w:t>
            </w:r>
            <w:r>
              <w:rPr>
                <w:rFonts w:hint="eastAsia" w:ascii="仿宋_GB2312" w:hAnsi="仿宋_GB2312" w:eastAsia="仿宋_GB2312" w:cs="仿宋_GB2312"/>
                <w:kern w:val="0"/>
                <w:sz w:val="24"/>
                <w:szCs w:val="24"/>
              </w:rPr>
              <w:t>；指导学生获第八届</w:t>
            </w:r>
            <w:r>
              <w:rPr>
                <w:rFonts w:hint="eastAsia" w:ascii="仿宋_GB2312" w:hAnsi="仿宋_GB2312" w:eastAsia="仿宋_GB2312" w:cs="仿宋_GB2312"/>
                <w:b/>
                <w:bCs/>
                <w:kern w:val="0"/>
                <w:sz w:val="24"/>
                <w:szCs w:val="24"/>
              </w:rPr>
              <w:t>“互联网+”创新创业大赛</w:t>
            </w:r>
            <w:r>
              <w:rPr>
                <w:rFonts w:hint="eastAsia" w:ascii="仿宋_GB2312" w:hAnsi="仿宋_GB2312" w:eastAsia="仿宋_GB2312" w:cs="仿宋_GB2312"/>
                <w:kern w:val="0"/>
                <w:sz w:val="24"/>
                <w:szCs w:val="24"/>
              </w:rPr>
              <w:t>产业赛道省级铜奖；指导学生获第十三届</w:t>
            </w:r>
            <w:r>
              <w:rPr>
                <w:rFonts w:hint="eastAsia" w:ascii="仿宋_GB2312" w:hAnsi="仿宋_GB2312" w:eastAsia="仿宋_GB2312" w:cs="仿宋_GB2312"/>
                <w:b/>
                <w:bCs/>
                <w:kern w:val="0"/>
                <w:sz w:val="24"/>
                <w:szCs w:val="24"/>
              </w:rPr>
              <w:t>“挑战杯”广东大学生创业计划竞赛</w:t>
            </w:r>
            <w:r>
              <w:rPr>
                <w:rFonts w:hint="eastAsia" w:ascii="仿宋_GB2312" w:hAnsi="仿宋_GB2312" w:eastAsia="仿宋_GB2312" w:cs="仿宋_GB2312"/>
                <w:kern w:val="0"/>
                <w:sz w:val="24"/>
                <w:szCs w:val="24"/>
              </w:rPr>
              <w:t>省级银奖。</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（3）学生坚持参加</w:t>
            </w:r>
            <w:r>
              <w:rPr>
                <w:rFonts w:hint="eastAsia" w:ascii="仿宋_GB2312" w:hAnsi="仿宋_GB2312" w:eastAsia="仿宋_GB2312" w:cs="仿宋_GB2312"/>
                <w:b/>
                <w:bCs/>
                <w:kern w:val="0"/>
                <w:sz w:val="24"/>
                <w:szCs w:val="24"/>
              </w:rPr>
              <w:t>学生创新工作室、创新创业教育实践基地</w:t>
            </w:r>
            <w:r>
              <w:rPr>
                <w:rFonts w:hint="eastAsia" w:ascii="仿宋_GB2312" w:hAnsi="仿宋_GB2312" w:eastAsia="仿宋_GB2312" w:cs="仿宋_GB2312"/>
                <w:kern w:val="0"/>
                <w:sz w:val="24"/>
                <w:szCs w:val="24"/>
              </w:rPr>
              <w:t>的日常运作和项目任务，形成学知识、练技能、提素质、做项目的良好氛围。</w:t>
            </w:r>
          </w:p>
          <w:p>
            <w:pPr>
              <w:widowControl/>
              <w:snapToGrid w:val="0"/>
              <w:spacing w:line="340" w:lineRule="exact"/>
              <w:ind w:firstLine="482" w:firstLineChars="200"/>
              <w:jc w:val="left"/>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5. 实行多方参与评价，受到教育肯定</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r>
              <w:rPr>
                <w:rFonts w:hint="eastAsia" w:ascii="仿宋_GB2312" w:hAnsi="仿宋_GB2312" w:eastAsia="仿宋_GB2312" w:cs="仿宋_GB2312"/>
                <w:b/>
                <w:bCs/>
                <w:kern w:val="0"/>
                <w:sz w:val="24"/>
                <w:szCs w:val="24"/>
              </w:rPr>
              <w:t>学校督导</w:t>
            </w:r>
            <w:r>
              <w:rPr>
                <w:rFonts w:hint="eastAsia" w:ascii="仿宋_GB2312" w:hAnsi="仿宋_GB2312" w:eastAsia="仿宋_GB2312" w:cs="仿宋_GB2312"/>
                <w:kern w:val="0"/>
                <w:sz w:val="24"/>
                <w:szCs w:val="24"/>
              </w:rPr>
              <w:t>认为：课程能结合专业人才培养规格与课程思政工作目标，基于服务网站项目案例，组织项目启动、计划、实施、控制等过程具体任务，</w:t>
            </w:r>
            <w:r>
              <w:rPr>
                <w:rFonts w:hint="eastAsia" w:ascii="仿宋_GB2312" w:hAnsi="仿宋_GB2312" w:eastAsia="仿宋_GB2312" w:cs="仿宋_GB2312"/>
                <w:b/>
                <w:bCs/>
                <w:kern w:val="0"/>
                <w:sz w:val="24"/>
                <w:szCs w:val="24"/>
              </w:rPr>
              <w:t>融入爱国情怀、工匠精神、责任担当、团队精神、大局意识等</w:t>
            </w:r>
            <w:r>
              <w:rPr>
                <w:rFonts w:hint="eastAsia" w:ascii="仿宋_GB2312" w:hAnsi="仿宋_GB2312" w:eastAsia="仿宋_GB2312" w:cs="仿宋_GB2312"/>
                <w:kern w:val="0"/>
                <w:sz w:val="24"/>
                <w:szCs w:val="24"/>
              </w:rPr>
              <w:t>相关思政元素，扎实训练项目实施的具体技能。</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r>
              <w:rPr>
                <w:rFonts w:hint="eastAsia" w:ascii="仿宋_GB2312" w:hAnsi="仿宋_GB2312" w:eastAsia="仿宋_GB2312" w:cs="仿宋_GB2312"/>
                <w:b/>
                <w:bCs/>
                <w:kern w:val="0"/>
                <w:sz w:val="24"/>
                <w:szCs w:val="24"/>
              </w:rPr>
              <w:t>教研室</w:t>
            </w:r>
            <w:r>
              <w:rPr>
                <w:rFonts w:hint="eastAsia" w:ascii="仿宋_GB2312" w:hAnsi="仿宋_GB2312" w:eastAsia="仿宋_GB2312" w:cs="仿宋_GB2312"/>
                <w:kern w:val="0"/>
                <w:sz w:val="24"/>
                <w:szCs w:val="24"/>
              </w:rPr>
              <w:t>认为： ①根据历年开课情况，结合学生数量以及学生、校友反响，平台课学生</w:t>
            </w:r>
            <w:r>
              <w:rPr>
                <w:rFonts w:hint="eastAsia" w:ascii="仿宋_GB2312" w:hAnsi="仿宋_GB2312" w:eastAsia="仿宋_GB2312" w:cs="仿宋_GB2312"/>
                <w:b/>
                <w:bCs/>
                <w:kern w:val="0"/>
                <w:sz w:val="24"/>
                <w:szCs w:val="24"/>
              </w:rPr>
              <w:t>受益面</w:t>
            </w:r>
            <w:r>
              <w:rPr>
                <w:rFonts w:hint="eastAsia" w:ascii="仿宋_GB2312" w:hAnsi="仿宋_GB2312" w:eastAsia="仿宋_GB2312" w:cs="仿宋_GB2312"/>
                <w:kern w:val="0"/>
                <w:sz w:val="24"/>
                <w:szCs w:val="24"/>
              </w:rPr>
              <w:t>超出一般专业核心课，教学实践活动对学生的</w:t>
            </w:r>
            <w:r>
              <w:rPr>
                <w:rFonts w:hint="eastAsia" w:ascii="仿宋_GB2312" w:hAnsi="仿宋_GB2312" w:eastAsia="仿宋_GB2312" w:cs="仿宋_GB2312"/>
                <w:b/>
                <w:bCs/>
                <w:kern w:val="0"/>
                <w:sz w:val="24"/>
                <w:szCs w:val="24"/>
              </w:rPr>
              <w:t>价值观塑造、事业与生活目标设定</w:t>
            </w:r>
            <w:r>
              <w:rPr>
                <w:rFonts w:hint="eastAsia" w:ascii="仿宋_GB2312" w:hAnsi="仿宋_GB2312" w:eastAsia="仿宋_GB2312" w:cs="仿宋_GB2312"/>
                <w:kern w:val="0"/>
                <w:sz w:val="24"/>
                <w:szCs w:val="24"/>
              </w:rPr>
              <w:t>、职业与社会能力有深远影响，教学内容与教学资源适配工科专业需求。 ②目前该课程的改革成效在专业群的其他平台课和专业课中进行了</w:t>
            </w:r>
            <w:r>
              <w:rPr>
                <w:rFonts w:hint="eastAsia" w:ascii="仿宋_GB2312" w:hAnsi="仿宋_GB2312" w:eastAsia="仿宋_GB2312" w:cs="仿宋_GB2312"/>
                <w:b/>
                <w:bCs/>
                <w:kern w:val="0"/>
                <w:sz w:val="24"/>
                <w:szCs w:val="24"/>
              </w:rPr>
              <w:t>示范推广</w:t>
            </w:r>
            <w:r>
              <w:rPr>
                <w:rFonts w:hint="eastAsia" w:ascii="仿宋_GB2312" w:hAnsi="仿宋_GB2312" w:eastAsia="仿宋_GB2312" w:cs="仿宋_GB2312"/>
                <w:kern w:val="0"/>
                <w:sz w:val="24"/>
                <w:szCs w:val="24"/>
              </w:rPr>
              <w:t>，并取得了一定的效果，获得了同行的好评与肯定。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2167" w:type="dxa"/>
            <w:vAlign w:val="center"/>
          </w:tcPr>
          <w:p>
            <w:pPr>
              <w:spacing w:line="340" w:lineRule="exact"/>
              <w:jc w:val="center"/>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标志性成果</w:t>
            </w:r>
          </w:p>
        </w:tc>
        <w:tc>
          <w:tcPr>
            <w:tcW w:w="6353" w:type="dxa"/>
          </w:tcPr>
          <w:p>
            <w:pPr>
              <w:widowControl/>
              <w:snapToGrid w:val="0"/>
              <w:spacing w:before="156" w:beforeLines="50" w:after="156" w:afterLines="50" w:line="340" w:lineRule="exact"/>
              <w:ind w:firstLine="482" w:firstLineChars="200"/>
              <w:jc w:val="left"/>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1.省级项目</w:t>
            </w:r>
          </w:p>
          <w:p>
            <w:pPr>
              <w:widowControl/>
              <w:numPr>
                <w:ilvl w:val="0"/>
                <w:numId w:val="8"/>
              </w:numPr>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主持《</w:t>
            </w:r>
            <w:r>
              <w:rPr>
                <w:rFonts w:hint="eastAsia" w:ascii="仿宋_GB2312" w:hAnsi="仿宋_GB2312" w:eastAsia="仿宋_GB2312" w:cs="仿宋_GB2312"/>
                <w:b/>
                <w:bCs/>
                <w:kern w:val="0"/>
                <w:sz w:val="24"/>
                <w:szCs w:val="24"/>
              </w:rPr>
              <w:t>项目管理精品开放课程建设项目</w:t>
            </w:r>
            <w:r>
              <w:rPr>
                <w:rFonts w:hint="eastAsia" w:ascii="仿宋_GB2312" w:hAnsi="仿宋_GB2312" w:eastAsia="仿宋_GB2312" w:cs="仿宋_GB2312"/>
                <w:kern w:val="0"/>
                <w:sz w:val="24"/>
                <w:szCs w:val="24"/>
              </w:rPr>
              <w:t>》（广东省教育厅 粤教高函〔2015〕24 号）。</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（2）主持建设</w:t>
            </w:r>
            <w:r>
              <w:rPr>
                <w:rFonts w:hint="eastAsia" w:ascii="仿宋_GB2312" w:hAnsi="仿宋_GB2312" w:eastAsia="仿宋_GB2312" w:cs="仿宋_GB2312"/>
                <w:b/>
                <w:bCs/>
                <w:kern w:val="0"/>
                <w:sz w:val="24"/>
                <w:szCs w:val="24"/>
              </w:rPr>
              <w:t>广东工程职业技术学院软件与信息服务专业群蓝盾实践基地</w:t>
            </w:r>
            <w:r>
              <w:rPr>
                <w:rFonts w:hint="eastAsia" w:ascii="仿宋_GB2312" w:hAnsi="仿宋_GB2312" w:eastAsia="仿宋_GB2312" w:cs="仿宋_GB2312"/>
                <w:kern w:val="0"/>
                <w:sz w:val="24"/>
                <w:szCs w:val="24"/>
              </w:rPr>
              <w:t>（广东省教育厅 粤教高函〔2014〕72 号）。</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（3）建设</w:t>
            </w:r>
            <w:r>
              <w:rPr>
                <w:rFonts w:hint="eastAsia" w:ascii="仿宋_GB2312" w:hAnsi="仿宋_GB2312" w:eastAsia="仿宋_GB2312" w:cs="仿宋_GB2312"/>
                <w:b/>
                <w:bCs/>
                <w:kern w:val="0"/>
                <w:sz w:val="24"/>
                <w:szCs w:val="24"/>
              </w:rPr>
              <w:t>广州红迅软件有限公司软件技术专业校外实践教学基地</w:t>
            </w:r>
            <w:r>
              <w:rPr>
                <w:rFonts w:hint="eastAsia" w:ascii="仿宋_GB2312" w:hAnsi="仿宋_GB2312" w:eastAsia="仿宋_GB2312" w:cs="仿宋_GB2312"/>
                <w:kern w:val="0"/>
                <w:sz w:val="24"/>
                <w:szCs w:val="24"/>
              </w:rPr>
              <w:t>（广东省教育厅 2</w:t>
            </w:r>
            <w:r>
              <w:rPr>
                <w:rFonts w:ascii="仿宋_GB2312" w:hAnsi="仿宋_GB2312" w:eastAsia="仿宋_GB2312" w:cs="仿宋_GB2312"/>
                <w:kern w:val="0"/>
                <w:sz w:val="24"/>
                <w:szCs w:val="24"/>
              </w:rPr>
              <w:t>022</w:t>
            </w:r>
            <w:r>
              <w:rPr>
                <w:rFonts w:hint="eastAsia" w:ascii="仿宋_GB2312" w:hAnsi="仿宋_GB2312" w:eastAsia="仿宋_GB2312" w:cs="仿宋_GB2312"/>
                <w:kern w:val="0"/>
                <w:sz w:val="24"/>
                <w:szCs w:val="24"/>
              </w:rPr>
              <w:t>年立项）。</w:t>
            </w:r>
          </w:p>
          <w:p>
            <w:pPr>
              <w:widowControl/>
              <w:snapToGrid w:val="0"/>
              <w:spacing w:before="156" w:beforeLines="50" w:after="156" w:afterLines="50" w:line="340" w:lineRule="exact"/>
              <w:ind w:firstLine="482" w:firstLineChars="200"/>
              <w:jc w:val="left"/>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2.校级项目</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（1）主持建设2022年度校级《项目管理》</w:t>
            </w:r>
            <w:r>
              <w:rPr>
                <w:rFonts w:hint="eastAsia" w:ascii="仿宋_GB2312" w:hAnsi="仿宋_GB2312" w:eastAsia="仿宋_GB2312" w:cs="仿宋_GB2312"/>
                <w:b/>
                <w:bCs/>
                <w:kern w:val="0"/>
                <w:sz w:val="24"/>
                <w:szCs w:val="24"/>
              </w:rPr>
              <w:t>课程思政示范课程</w:t>
            </w:r>
            <w:r>
              <w:rPr>
                <w:rFonts w:hint="eastAsia" w:ascii="仿宋_GB2312" w:hAnsi="仿宋_GB2312" w:eastAsia="仿宋_GB2312" w:cs="仿宋_GB2312"/>
                <w:kern w:val="0"/>
                <w:sz w:val="24"/>
                <w:szCs w:val="24"/>
              </w:rPr>
              <w:t>。</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（2）主持建设2022年度校级《项目管理》</w:t>
            </w:r>
            <w:r>
              <w:rPr>
                <w:rFonts w:hint="eastAsia" w:ascii="仿宋_GB2312" w:hAnsi="仿宋_GB2312" w:eastAsia="仿宋_GB2312" w:cs="仿宋_GB2312"/>
                <w:b/>
                <w:bCs/>
                <w:kern w:val="0"/>
                <w:sz w:val="24"/>
                <w:szCs w:val="24"/>
              </w:rPr>
              <w:t>校级课程思政教学团队</w:t>
            </w:r>
            <w:r>
              <w:rPr>
                <w:rFonts w:hint="eastAsia" w:ascii="仿宋_GB2312" w:hAnsi="仿宋_GB2312" w:eastAsia="仿宋_GB2312" w:cs="仿宋_GB2312"/>
                <w:kern w:val="0"/>
                <w:sz w:val="24"/>
                <w:szCs w:val="24"/>
              </w:rPr>
              <w:t>。</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（3）广东工程职业技术学院课题《</w:t>
            </w:r>
            <w:r>
              <w:rPr>
                <w:rFonts w:hint="eastAsia" w:ascii="仿宋_GB2312" w:hAnsi="仿宋_GB2312" w:eastAsia="仿宋_GB2312" w:cs="仿宋_GB2312"/>
                <w:b/>
                <w:bCs/>
                <w:kern w:val="0"/>
                <w:sz w:val="24"/>
                <w:szCs w:val="24"/>
              </w:rPr>
              <w:t>产教融合背景下软件技术专业课程思政改革探索与实践</w:t>
            </w:r>
            <w:r>
              <w:rPr>
                <w:rFonts w:hint="eastAsia" w:ascii="仿宋_GB2312" w:hAnsi="仿宋_GB2312" w:eastAsia="仿宋_GB2312" w:cs="仿宋_GB2312"/>
                <w:kern w:val="0"/>
                <w:sz w:val="24"/>
                <w:szCs w:val="24"/>
              </w:rPr>
              <w:t>》（2020年立项，2021年结项）。</w:t>
            </w:r>
          </w:p>
          <w:p>
            <w:pPr>
              <w:widowControl/>
              <w:snapToGrid w:val="0"/>
              <w:spacing w:before="156" w:beforeLines="50" w:after="156" w:afterLines="50" w:line="340" w:lineRule="exact"/>
              <w:ind w:firstLine="482" w:firstLineChars="200"/>
              <w:jc w:val="left"/>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3.学生竞赛</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（1）教师指导学生获</w:t>
            </w:r>
            <w:r>
              <w:rPr>
                <w:rFonts w:hint="eastAsia" w:ascii="仿宋_GB2312" w:hAnsi="仿宋_GB2312" w:eastAsia="仿宋_GB2312" w:cs="仿宋_GB2312"/>
                <w:b/>
                <w:bCs/>
                <w:kern w:val="0"/>
                <w:sz w:val="24"/>
                <w:szCs w:val="24"/>
              </w:rPr>
              <w:t>蓝桥杯全国软件和信息技术专业人才大赛</w:t>
            </w:r>
            <w:r>
              <w:rPr>
                <w:rFonts w:hint="eastAsia" w:ascii="仿宋_GB2312" w:hAnsi="仿宋_GB2312" w:eastAsia="仿宋_GB2312" w:cs="仿宋_GB2312"/>
                <w:kern w:val="0"/>
                <w:sz w:val="24"/>
                <w:szCs w:val="24"/>
              </w:rPr>
              <w:t>3项（全国三等奖、省级二等奖、省级三等奖，2021年），</w:t>
            </w:r>
            <w:r>
              <w:rPr>
                <w:rFonts w:hint="eastAsia" w:ascii="仿宋_GB2312" w:hAnsi="仿宋_GB2312" w:eastAsia="仿宋_GB2312" w:cs="仿宋_GB2312"/>
                <w:b/>
                <w:bCs/>
                <w:kern w:val="0"/>
                <w:sz w:val="24"/>
                <w:szCs w:val="24"/>
              </w:rPr>
              <w:t>广东省职业院校技能大赛</w:t>
            </w:r>
            <w:r>
              <w:rPr>
                <w:rFonts w:hint="eastAsia" w:ascii="仿宋_GB2312" w:hAnsi="仿宋_GB2312" w:eastAsia="仿宋_GB2312" w:cs="仿宋_GB2312"/>
                <w:kern w:val="0"/>
                <w:sz w:val="24"/>
                <w:szCs w:val="24"/>
              </w:rPr>
              <w:t>2项（2021年小程序设计与开发三等奖，2022年Web应用软件开发三等奖）。</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（2）团队教师朱珍等指导学生获第八届</w:t>
            </w:r>
            <w:r>
              <w:rPr>
                <w:rFonts w:hint="eastAsia" w:ascii="仿宋_GB2312" w:hAnsi="仿宋_GB2312" w:eastAsia="仿宋_GB2312" w:cs="仿宋_GB2312"/>
                <w:b/>
                <w:bCs/>
                <w:kern w:val="0"/>
                <w:sz w:val="24"/>
                <w:szCs w:val="24"/>
              </w:rPr>
              <w:t>“互联网+”创新创业大赛</w:t>
            </w:r>
            <w:r>
              <w:rPr>
                <w:rFonts w:hint="eastAsia" w:ascii="仿宋_GB2312" w:hAnsi="仿宋_GB2312" w:eastAsia="仿宋_GB2312" w:cs="仿宋_GB2312"/>
                <w:kern w:val="0"/>
                <w:sz w:val="24"/>
                <w:szCs w:val="24"/>
              </w:rPr>
              <w:t>产业赛道省级铜奖（2022年），团队教师黄玲等指导学生获第十三届</w:t>
            </w:r>
            <w:r>
              <w:rPr>
                <w:rFonts w:hint="eastAsia" w:ascii="仿宋_GB2312" w:hAnsi="仿宋_GB2312" w:eastAsia="仿宋_GB2312" w:cs="仿宋_GB2312"/>
                <w:b/>
                <w:bCs/>
                <w:kern w:val="0"/>
                <w:sz w:val="24"/>
                <w:szCs w:val="24"/>
              </w:rPr>
              <w:t>“挑战杯”广东大学生创业计划竞赛</w:t>
            </w:r>
            <w:r>
              <w:rPr>
                <w:rFonts w:hint="eastAsia" w:ascii="仿宋_GB2312" w:hAnsi="仿宋_GB2312" w:eastAsia="仿宋_GB2312" w:cs="仿宋_GB2312"/>
                <w:kern w:val="0"/>
                <w:sz w:val="24"/>
                <w:szCs w:val="24"/>
              </w:rPr>
              <w:t>省级银奖（2022年)，团队教师黄轶文指导学生入选</w:t>
            </w:r>
            <w:r>
              <w:rPr>
                <w:rFonts w:hint="eastAsia" w:ascii="仿宋_GB2312" w:hAnsi="仿宋_GB2312" w:eastAsia="仿宋_GB2312" w:cs="仿宋_GB2312"/>
                <w:b/>
                <w:bCs/>
                <w:kern w:val="0"/>
                <w:sz w:val="24"/>
                <w:szCs w:val="24"/>
              </w:rPr>
              <w:t>广东大学生创新创业训练计划</w:t>
            </w:r>
            <w:r>
              <w:rPr>
                <w:rFonts w:hint="eastAsia" w:ascii="仿宋_GB2312" w:hAnsi="仿宋_GB2312" w:eastAsia="仿宋_GB2312" w:cs="仿宋_GB2312"/>
                <w:kern w:val="0"/>
                <w:sz w:val="24"/>
                <w:szCs w:val="24"/>
              </w:rPr>
              <w:t>（2018年）。</w:t>
            </w:r>
          </w:p>
          <w:p>
            <w:pPr>
              <w:snapToGrid w:val="0"/>
              <w:spacing w:line="340" w:lineRule="exact"/>
              <w:rPr>
                <w:rFonts w:ascii="仿宋_GB2312" w:hAnsi="仿宋_GB2312" w:eastAsia="仿宋_GB2312" w:cs="仿宋_GB2312"/>
                <w:kern w:val="0"/>
                <w:sz w:val="24"/>
                <w:szCs w:val="24"/>
              </w:rPr>
            </w:pPr>
          </w:p>
        </w:tc>
      </w:tr>
    </w:tbl>
    <w:p>
      <w:pPr>
        <w:spacing w:before="156" w:beforeLines="50" w:after="156" w:afterLines="50" w:line="340" w:lineRule="atLeast"/>
        <w:rPr>
          <w:rFonts w:ascii="黑体" w:hAnsi="黑体" w:eastAsia="黑体" w:cs="黑体"/>
          <w:sz w:val="24"/>
          <w:szCs w:val="24"/>
        </w:rPr>
      </w:pPr>
    </w:p>
    <w:p>
      <w:pPr>
        <w:pStyle w:val="12"/>
        <w:spacing w:before="156" w:beforeLines="50" w:after="156" w:afterLines="50" w:line="340" w:lineRule="atLeast"/>
        <w:ind w:firstLine="0" w:firstLineChars="0"/>
        <w:rPr>
          <w:rFonts w:ascii="黑体" w:hAnsi="黑体" w:eastAsia="黑体" w:cs="黑体"/>
          <w:sz w:val="24"/>
          <w:szCs w:val="24"/>
        </w:rPr>
      </w:pPr>
      <w:r>
        <w:rPr>
          <w:rFonts w:hint="eastAsia" w:ascii="黑体" w:hAnsi="黑体" w:eastAsia="黑体" w:cs="黑体"/>
          <w:sz w:val="24"/>
          <w:szCs w:val="24"/>
        </w:rPr>
        <w:t>四、建设计划</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2" w:hRule="atLeast"/>
        </w:trPr>
        <w:tc>
          <w:tcPr>
            <w:tcW w:w="8522" w:type="dxa"/>
          </w:tcPr>
          <w:p>
            <w:pPr>
              <w:spacing w:line="340" w:lineRule="exac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eastAsia="zh-Hans"/>
              </w:rPr>
              <w:t>简述</w:t>
            </w:r>
            <w:r>
              <w:rPr>
                <w:rFonts w:hint="eastAsia" w:ascii="仿宋_GB2312" w:hAnsi="仿宋_GB2312" w:eastAsia="仿宋_GB2312" w:cs="仿宋_GB2312"/>
                <w:kern w:val="0"/>
                <w:sz w:val="24"/>
                <w:szCs w:val="24"/>
              </w:rPr>
              <w:t>课程2023-2024年建设目标、需要进一步解决的</w:t>
            </w:r>
            <w:r>
              <w:rPr>
                <w:rFonts w:hint="eastAsia" w:ascii="仿宋_GB2312" w:hAnsi="仿宋_GB2312" w:eastAsia="仿宋_GB2312" w:cs="仿宋_GB2312"/>
                <w:kern w:val="0"/>
                <w:sz w:val="24"/>
                <w:szCs w:val="24"/>
                <w:lang w:eastAsia="zh-Hans"/>
              </w:rPr>
              <w:t>问题困难</w:t>
            </w:r>
            <w:r>
              <w:rPr>
                <w:rFonts w:hint="eastAsia" w:ascii="仿宋_GB2312" w:hAnsi="仿宋_GB2312" w:eastAsia="仿宋_GB2312" w:cs="仿宋_GB2312"/>
                <w:kern w:val="0"/>
                <w:sz w:val="24"/>
                <w:szCs w:val="24"/>
              </w:rPr>
              <w:t>、主要举措和支持保障措施等）</w:t>
            </w:r>
          </w:p>
          <w:p>
            <w:pPr>
              <w:widowControl/>
              <w:numPr>
                <w:ilvl w:val="0"/>
                <w:numId w:val="9"/>
              </w:numPr>
              <w:snapToGrid w:val="0"/>
              <w:spacing w:before="156" w:beforeLines="50" w:after="156" w:afterLines="50" w:line="340" w:lineRule="exact"/>
              <w:jc w:val="left"/>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课程2023-2024年建设目标</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按《高等学校课程思政建设指导纲要》、广东省高职院校课程思政示范计划等文件要求开展建设，将价值塑造、知识传授和能力培养三者融为一体，优化教学内容，改革教学模式，建设数字资源，提升立德树人成效、提升教学质量，应用网络平台服务师生与网络学习者，力争在两年内建成对专业群课程建设有一定带动作用的省级课程思政示范课程。具体建设六个子项目：</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r>
              <w:rPr>
                <w:rFonts w:hint="eastAsia" w:ascii="仿宋_GB2312" w:hAnsi="仿宋_GB2312" w:eastAsia="仿宋_GB2312" w:cs="仿宋_GB2312"/>
                <w:b/>
                <w:bCs/>
                <w:kern w:val="0"/>
                <w:sz w:val="24"/>
                <w:szCs w:val="24"/>
              </w:rPr>
              <w:t>课程思政建设模式研究</w:t>
            </w:r>
            <w:r>
              <w:rPr>
                <w:rFonts w:hint="eastAsia" w:ascii="仿宋_GB2312" w:hAnsi="仿宋_GB2312" w:eastAsia="仿宋_GB2312" w:cs="仿宋_GB2312"/>
                <w:kern w:val="0"/>
                <w:sz w:val="24"/>
                <w:szCs w:val="24"/>
              </w:rPr>
              <w:t xml:space="preserve">：创新课程思政建设模式。改革教学内容、教学方法和课程评价方式，形成教学改革案例、工作报告等成果。 </w:t>
            </w:r>
          </w:p>
          <w:p>
            <w:pPr>
              <w:widowControl/>
              <w:numPr>
                <w:ilvl w:val="0"/>
                <w:numId w:val="8"/>
              </w:numPr>
              <w:snapToGrid w:val="0"/>
              <w:spacing w:line="340" w:lineRule="exact"/>
              <w:ind w:firstLine="482"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课程思政教学内容建设</w:t>
            </w:r>
            <w:r>
              <w:rPr>
                <w:rFonts w:hint="eastAsia" w:ascii="仿宋_GB2312" w:hAnsi="仿宋_GB2312" w:eastAsia="仿宋_GB2312" w:cs="仿宋_GB2312"/>
                <w:kern w:val="0"/>
                <w:sz w:val="24"/>
                <w:szCs w:val="24"/>
              </w:rPr>
              <w:t xml:space="preserve">：优化课程思政内容供给。规划育人目标，有机融入社会主义核心价值观、职业精神、中华民族优秀文化传统等内容，开发思政教育资源。 </w:t>
            </w:r>
          </w:p>
          <w:p>
            <w:pPr>
              <w:widowControl/>
              <w:numPr>
                <w:ilvl w:val="0"/>
                <w:numId w:val="8"/>
              </w:numPr>
              <w:snapToGrid w:val="0"/>
              <w:spacing w:line="340" w:lineRule="exact"/>
              <w:ind w:firstLine="482"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课程思政教学设计与实践</w:t>
            </w:r>
            <w:r>
              <w:rPr>
                <w:rFonts w:hint="eastAsia" w:ascii="仿宋_GB2312" w:hAnsi="仿宋_GB2312" w:eastAsia="仿宋_GB2312" w:cs="仿宋_GB2312"/>
                <w:kern w:val="0"/>
                <w:sz w:val="24"/>
                <w:szCs w:val="24"/>
              </w:rPr>
              <w:t xml:space="preserve">：将思政教育有机融入课堂教学。结合专业技能目标与思政目标，优化教案、课件，编制学习手册。 </w:t>
            </w:r>
          </w:p>
          <w:p>
            <w:pPr>
              <w:widowControl/>
              <w:numPr>
                <w:ilvl w:val="0"/>
                <w:numId w:val="8"/>
              </w:numPr>
              <w:snapToGrid w:val="0"/>
              <w:spacing w:line="340" w:lineRule="exact"/>
              <w:ind w:firstLine="482"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课程思政数字化资源建设</w:t>
            </w:r>
            <w:r>
              <w:rPr>
                <w:rFonts w:hint="eastAsia" w:ascii="仿宋_GB2312" w:hAnsi="仿宋_GB2312" w:eastAsia="仿宋_GB2312" w:cs="仿宋_GB2312"/>
                <w:kern w:val="0"/>
                <w:sz w:val="24"/>
                <w:szCs w:val="24"/>
              </w:rPr>
              <w:t xml:space="preserve">：建设课程思政优质数字化资源。结合现代教育技术、精品在线开放课程等平台，建设立体化课程思政数字化资源，面向专业群教师与兄弟院校教师提供共享。 </w:t>
            </w:r>
          </w:p>
          <w:p>
            <w:pPr>
              <w:widowControl/>
              <w:numPr>
                <w:ilvl w:val="0"/>
                <w:numId w:val="8"/>
              </w:numPr>
              <w:snapToGrid w:val="0"/>
              <w:spacing w:line="340" w:lineRule="exact"/>
              <w:ind w:firstLine="482"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探索政校企实践育人项目</w:t>
            </w:r>
            <w:r>
              <w:rPr>
                <w:rFonts w:hint="eastAsia" w:ascii="仿宋_GB2312" w:hAnsi="仿宋_GB2312" w:eastAsia="仿宋_GB2312" w:cs="仿宋_GB2312"/>
                <w:kern w:val="0"/>
                <w:sz w:val="24"/>
                <w:szCs w:val="24"/>
              </w:rPr>
              <w:t xml:space="preserve">：调研指导机构、典型企业、社区服务中心、社团与工作室实际情况，规划实施学生实践项目或实践工作站，在实践项目中融合课程思政内容与企业文化。 </w:t>
            </w:r>
          </w:p>
          <w:p>
            <w:pPr>
              <w:widowControl/>
              <w:numPr>
                <w:ilvl w:val="0"/>
                <w:numId w:val="8"/>
              </w:numPr>
              <w:snapToGrid w:val="0"/>
              <w:spacing w:line="340" w:lineRule="exact"/>
              <w:ind w:firstLine="482"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强化团队建设与示范作用</w:t>
            </w:r>
            <w:r>
              <w:rPr>
                <w:rFonts w:hint="eastAsia" w:ascii="仿宋_GB2312" w:hAnsi="仿宋_GB2312" w:eastAsia="仿宋_GB2312" w:cs="仿宋_GB2312"/>
                <w:kern w:val="0"/>
                <w:sz w:val="24"/>
                <w:szCs w:val="24"/>
              </w:rPr>
              <w:t>：组织团队学习、实践课程思政建设经验与教学经验，提升团队的教学能力与教学改革能力，将资源与经验向专业群教师推广，形成带动效应。</w:t>
            </w:r>
          </w:p>
          <w:p>
            <w:pPr>
              <w:widowControl/>
              <w:snapToGrid w:val="0"/>
              <w:spacing w:before="156" w:beforeLines="50" w:after="156" w:afterLines="50" w:line="340" w:lineRule="exact"/>
              <w:jc w:val="center"/>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表2 目标成果规划</w:t>
            </w:r>
          </w:p>
          <w:tbl>
            <w:tblPr>
              <w:tblStyle w:val="8"/>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3254"/>
              <w:gridCol w:w="3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269" w:type="dxa"/>
                  <w:vAlign w:val="center"/>
                </w:tcPr>
                <w:p>
                  <w:pPr>
                    <w:spacing w:line="360" w:lineRule="exact"/>
                    <w:jc w:val="center"/>
                    <w:rPr>
                      <w:rFonts w:ascii="宋体" w:hAnsi="宋体"/>
                      <w:b/>
                      <w:sz w:val="28"/>
                      <w:szCs w:val="28"/>
                    </w:rPr>
                  </w:pPr>
                  <w:r>
                    <w:rPr>
                      <w:rFonts w:hint="eastAsia" w:ascii="宋体" w:hAnsi="宋体"/>
                      <w:b/>
                      <w:sz w:val="28"/>
                      <w:szCs w:val="28"/>
                    </w:rPr>
                    <w:t>子项目</w:t>
                  </w:r>
                </w:p>
              </w:tc>
              <w:tc>
                <w:tcPr>
                  <w:tcW w:w="3254" w:type="dxa"/>
                  <w:vAlign w:val="center"/>
                </w:tcPr>
                <w:p>
                  <w:pPr>
                    <w:widowControl/>
                    <w:snapToGrid w:val="0"/>
                    <w:spacing w:line="300" w:lineRule="exact"/>
                    <w:jc w:val="center"/>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2023年目标成果</w:t>
                  </w:r>
                </w:p>
              </w:tc>
              <w:tc>
                <w:tcPr>
                  <w:tcW w:w="3414" w:type="dxa"/>
                  <w:vAlign w:val="center"/>
                </w:tcPr>
                <w:p>
                  <w:pPr>
                    <w:widowControl/>
                    <w:snapToGrid w:val="0"/>
                    <w:spacing w:line="300" w:lineRule="exact"/>
                    <w:jc w:val="center"/>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2024年目标成果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269" w:type="dxa"/>
                  <w:vMerge w:val="restart"/>
                  <w:vAlign w:val="center"/>
                </w:tcPr>
                <w:p>
                  <w:pPr>
                    <w:spacing w:line="360" w:lineRule="exact"/>
                    <w:rPr>
                      <w:rFonts w:ascii="宋体" w:hAnsi="宋体"/>
                      <w:b/>
                      <w:sz w:val="24"/>
                      <w:szCs w:val="24"/>
                    </w:rPr>
                  </w:pPr>
                  <w:r>
                    <w:rPr>
                      <w:rFonts w:hint="eastAsia" w:ascii="宋体" w:hAnsi="宋体"/>
                      <w:b/>
                      <w:sz w:val="24"/>
                      <w:szCs w:val="24"/>
                    </w:rPr>
                    <w:t>1.课程思政建设模式研究</w:t>
                  </w:r>
                </w:p>
              </w:tc>
              <w:tc>
                <w:tcPr>
                  <w:tcW w:w="325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新版课程标准。</w:t>
                  </w:r>
                </w:p>
              </w:tc>
              <w:tc>
                <w:tcPr>
                  <w:tcW w:w="3414" w:type="dxa"/>
                </w:tcPr>
                <w:p>
                  <w:pPr>
                    <w:widowControl/>
                    <w:snapToGrid w:val="0"/>
                    <w:spacing w:line="300" w:lineRule="exact"/>
                    <w:jc w:val="left"/>
                    <w:rPr>
                      <w:rFonts w:ascii="仿宋_GB2312" w:hAnsi="仿宋_GB2312" w:eastAsia="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69" w:type="dxa"/>
                  <w:vMerge w:val="continue"/>
                  <w:vAlign w:val="center"/>
                </w:tcPr>
                <w:p>
                  <w:pPr>
                    <w:spacing w:line="360" w:lineRule="exact"/>
                    <w:rPr>
                      <w:rFonts w:ascii="宋体" w:hAnsi="宋体"/>
                      <w:b/>
                      <w:sz w:val="24"/>
                      <w:szCs w:val="24"/>
                    </w:rPr>
                  </w:pPr>
                </w:p>
              </w:tc>
              <w:tc>
                <w:tcPr>
                  <w:tcW w:w="325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新版教学设计（教案）。</w:t>
                  </w:r>
                </w:p>
              </w:tc>
              <w:tc>
                <w:tcPr>
                  <w:tcW w:w="3414" w:type="dxa"/>
                </w:tcPr>
                <w:p>
                  <w:pPr>
                    <w:widowControl/>
                    <w:snapToGrid w:val="0"/>
                    <w:spacing w:line="300" w:lineRule="exact"/>
                    <w:jc w:val="left"/>
                    <w:rPr>
                      <w:rFonts w:ascii="仿宋_GB2312" w:hAnsi="仿宋_GB2312" w:eastAsia="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9" w:type="dxa"/>
                  <w:vMerge w:val="continue"/>
                  <w:vAlign w:val="center"/>
                </w:tcPr>
                <w:p>
                  <w:pPr>
                    <w:spacing w:line="360" w:lineRule="exact"/>
                    <w:rPr>
                      <w:rFonts w:ascii="宋体" w:hAnsi="宋体"/>
                      <w:b/>
                      <w:sz w:val="24"/>
                      <w:szCs w:val="24"/>
                    </w:rPr>
                  </w:pPr>
                </w:p>
              </w:tc>
              <w:tc>
                <w:tcPr>
                  <w:tcW w:w="325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新版教学指导文件。</w:t>
                  </w:r>
                </w:p>
              </w:tc>
              <w:tc>
                <w:tcPr>
                  <w:tcW w:w="3414" w:type="dxa"/>
                </w:tcPr>
                <w:p>
                  <w:pPr>
                    <w:widowControl/>
                    <w:snapToGrid w:val="0"/>
                    <w:spacing w:line="300" w:lineRule="exact"/>
                    <w:jc w:val="left"/>
                    <w:rPr>
                      <w:rFonts w:ascii="仿宋_GB2312" w:hAnsi="仿宋_GB2312" w:eastAsia="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69" w:type="dxa"/>
                  <w:vMerge w:val="continue"/>
                  <w:vAlign w:val="center"/>
                </w:tcPr>
                <w:p>
                  <w:pPr>
                    <w:spacing w:line="360" w:lineRule="exact"/>
                    <w:rPr>
                      <w:rFonts w:ascii="宋体" w:hAnsi="宋体"/>
                      <w:b/>
                      <w:sz w:val="24"/>
                      <w:szCs w:val="24"/>
                    </w:rPr>
                  </w:pPr>
                </w:p>
              </w:tc>
              <w:tc>
                <w:tcPr>
                  <w:tcW w:w="325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新版考核方案。</w:t>
                  </w:r>
                </w:p>
              </w:tc>
              <w:tc>
                <w:tcPr>
                  <w:tcW w:w="3414" w:type="dxa"/>
                </w:tcPr>
                <w:p>
                  <w:pPr>
                    <w:widowControl/>
                    <w:snapToGrid w:val="0"/>
                    <w:spacing w:line="300" w:lineRule="exact"/>
                    <w:jc w:val="left"/>
                    <w:rPr>
                      <w:rFonts w:ascii="仿宋_GB2312" w:hAnsi="仿宋_GB2312" w:eastAsia="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69" w:type="dxa"/>
                  <w:vMerge w:val="continue"/>
                  <w:vAlign w:val="center"/>
                </w:tcPr>
                <w:p>
                  <w:pPr>
                    <w:spacing w:line="360" w:lineRule="exact"/>
                    <w:rPr>
                      <w:rFonts w:ascii="宋体" w:hAnsi="宋体"/>
                      <w:b/>
                      <w:sz w:val="24"/>
                      <w:szCs w:val="24"/>
                    </w:rPr>
                  </w:pPr>
                </w:p>
              </w:tc>
              <w:tc>
                <w:tcPr>
                  <w:tcW w:w="325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调查问卷设计。</w:t>
                  </w:r>
                </w:p>
              </w:tc>
              <w:tc>
                <w:tcPr>
                  <w:tcW w:w="341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调查统计数据。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269" w:type="dxa"/>
                  <w:vMerge w:val="continue"/>
                  <w:vAlign w:val="center"/>
                </w:tcPr>
                <w:p>
                  <w:pPr>
                    <w:spacing w:line="360" w:lineRule="exact"/>
                    <w:rPr>
                      <w:rFonts w:ascii="宋体" w:hAnsi="宋体"/>
                      <w:b/>
                      <w:sz w:val="24"/>
                      <w:szCs w:val="24"/>
                    </w:rPr>
                  </w:pPr>
                </w:p>
              </w:tc>
              <w:tc>
                <w:tcPr>
                  <w:tcW w:w="325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教学改革案例1篇。</w:t>
                  </w:r>
                </w:p>
              </w:tc>
              <w:tc>
                <w:tcPr>
                  <w:tcW w:w="341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教学改革案例共2篇。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269" w:type="dxa"/>
                  <w:vMerge w:val="continue"/>
                  <w:vAlign w:val="center"/>
                </w:tcPr>
                <w:p>
                  <w:pPr>
                    <w:spacing w:line="360" w:lineRule="exact"/>
                    <w:rPr>
                      <w:rFonts w:ascii="宋体" w:hAnsi="宋体"/>
                      <w:b/>
                      <w:sz w:val="24"/>
                      <w:szCs w:val="24"/>
                    </w:rPr>
                  </w:pPr>
                </w:p>
              </w:tc>
              <w:tc>
                <w:tcPr>
                  <w:tcW w:w="325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团队教师编写课程思政工作报告或论文1篇。</w:t>
                  </w:r>
                </w:p>
              </w:tc>
              <w:tc>
                <w:tcPr>
                  <w:tcW w:w="341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团队教师编写课程思政工作报告或论文共2篇。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269" w:type="dxa"/>
                  <w:vMerge w:val="restart"/>
                  <w:vAlign w:val="center"/>
                </w:tcPr>
                <w:p>
                  <w:pPr>
                    <w:spacing w:line="360" w:lineRule="exact"/>
                    <w:rPr>
                      <w:rFonts w:ascii="宋体" w:hAnsi="宋体"/>
                      <w:b/>
                      <w:sz w:val="24"/>
                      <w:szCs w:val="24"/>
                    </w:rPr>
                  </w:pPr>
                  <w:r>
                    <w:rPr>
                      <w:rFonts w:hint="eastAsia" w:ascii="宋体" w:hAnsi="宋体"/>
                      <w:b/>
                      <w:sz w:val="24"/>
                      <w:szCs w:val="24"/>
                    </w:rPr>
                    <w:t>2.课程思政教学内容建设</w:t>
                  </w:r>
                </w:p>
              </w:tc>
              <w:tc>
                <w:tcPr>
                  <w:tcW w:w="325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课程思政案例库、知识库，包含50篇文章。</w:t>
                  </w:r>
                </w:p>
              </w:tc>
              <w:tc>
                <w:tcPr>
                  <w:tcW w:w="341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课程思政案例库、知识库，合计100篇文章。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269" w:type="dxa"/>
                  <w:vMerge w:val="continue"/>
                  <w:vAlign w:val="center"/>
                </w:tcPr>
                <w:p>
                  <w:pPr>
                    <w:spacing w:line="360" w:lineRule="exact"/>
                    <w:rPr>
                      <w:rFonts w:ascii="宋体" w:hAnsi="宋体"/>
                      <w:b/>
                      <w:sz w:val="24"/>
                      <w:szCs w:val="24"/>
                    </w:rPr>
                  </w:pPr>
                </w:p>
              </w:tc>
              <w:tc>
                <w:tcPr>
                  <w:tcW w:w="325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课程思政案例汇编初稿。</w:t>
                  </w:r>
                </w:p>
              </w:tc>
              <w:tc>
                <w:tcPr>
                  <w:tcW w:w="341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课程思政案例汇编定稿。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269" w:type="dxa"/>
                  <w:vMerge w:val="continue"/>
                  <w:vAlign w:val="center"/>
                </w:tcPr>
                <w:p>
                  <w:pPr>
                    <w:spacing w:line="360" w:lineRule="exact"/>
                    <w:rPr>
                      <w:rFonts w:ascii="宋体" w:hAnsi="宋体"/>
                      <w:b/>
                      <w:sz w:val="24"/>
                      <w:szCs w:val="24"/>
                    </w:rPr>
                  </w:pPr>
                </w:p>
              </w:tc>
              <w:tc>
                <w:tcPr>
                  <w:tcW w:w="325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教师工作指引文件。</w:t>
                  </w:r>
                </w:p>
              </w:tc>
              <w:tc>
                <w:tcPr>
                  <w:tcW w:w="341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学生导学文件。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269" w:type="dxa"/>
                  <w:vMerge w:val="continue"/>
                  <w:vAlign w:val="center"/>
                </w:tcPr>
                <w:p>
                  <w:pPr>
                    <w:spacing w:line="360" w:lineRule="exact"/>
                    <w:rPr>
                      <w:rFonts w:ascii="宋体" w:hAnsi="宋体"/>
                      <w:b/>
                      <w:sz w:val="24"/>
                      <w:szCs w:val="24"/>
                    </w:rPr>
                  </w:pPr>
                </w:p>
              </w:tc>
              <w:tc>
                <w:tcPr>
                  <w:tcW w:w="325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测验或调查问卷题目，20道题目。</w:t>
                  </w:r>
                </w:p>
              </w:tc>
              <w:tc>
                <w:tcPr>
                  <w:tcW w:w="341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测验或调查问卷题目，合计50道题目。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269" w:type="dxa"/>
                  <w:vMerge w:val="restart"/>
                  <w:vAlign w:val="center"/>
                </w:tcPr>
                <w:p>
                  <w:pPr>
                    <w:spacing w:line="360" w:lineRule="exact"/>
                    <w:rPr>
                      <w:rFonts w:ascii="宋体" w:hAnsi="宋体"/>
                      <w:b/>
                      <w:sz w:val="24"/>
                      <w:szCs w:val="24"/>
                    </w:rPr>
                  </w:pPr>
                  <w:r>
                    <w:rPr>
                      <w:rFonts w:hint="eastAsia" w:ascii="宋体" w:hAnsi="宋体"/>
                      <w:b/>
                      <w:sz w:val="24"/>
                      <w:szCs w:val="24"/>
                    </w:rPr>
                    <w:t>3.课程思政教学设计与实践</w:t>
                  </w:r>
                </w:p>
              </w:tc>
              <w:tc>
                <w:tcPr>
                  <w:tcW w:w="325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各单元新版课件。</w:t>
                  </w:r>
                </w:p>
              </w:tc>
              <w:tc>
                <w:tcPr>
                  <w:tcW w:w="3414" w:type="dxa"/>
                </w:tcPr>
                <w:p>
                  <w:pPr>
                    <w:widowControl/>
                    <w:snapToGrid w:val="0"/>
                    <w:spacing w:line="300" w:lineRule="exact"/>
                    <w:jc w:val="left"/>
                    <w:rPr>
                      <w:rFonts w:ascii="仿宋_GB2312" w:hAnsi="仿宋_GB2312" w:eastAsia="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69" w:type="dxa"/>
                  <w:vMerge w:val="continue"/>
                  <w:vAlign w:val="center"/>
                </w:tcPr>
                <w:p>
                  <w:pPr>
                    <w:spacing w:line="360" w:lineRule="exact"/>
                    <w:rPr>
                      <w:rFonts w:ascii="宋体" w:hAnsi="宋体"/>
                      <w:b/>
                      <w:sz w:val="24"/>
                      <w:szCs w:val="24"/>
                    </w:rPr>
                  </w:pPr>
                </w:p>
              </w:tc>
              <w:tc>
                <w:tcPr>
                  <w:tcW w:w="325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各单元新版实训指导文件。</w:t>
                  </w:r>
                </w:p>
              </w:tc>
              <w:tc>
                <w:tcPr>
                  <w:tcW w:w="3414" w:type="dxa"/>
                </w:tcPr>
                <w:p>
                  <w:pPr>
                    <w:widowControl/>
                    <w:snapToGrid w:val="0"/>
                    <w:spacing w:line="300" w:lineRule="exact"/>
                    <w:jc w:val="left"/>
                    <w:rPr>
                      <w:rFonts w:ascii="仿宋_GB2312" w:hAnsi="仿宋_GB2312" w:eastAsia="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269" w:type="dxa"/>
                  <w:vMerge w:val="continue"/>
                  <w:vAlign w:val="center"/>
                </w:tcPr>
                <w:p>
                  <w:pPr>
                    <w:spacing w:line="360" w:lineRule="exact"/>
                    <w:rPr>
                      <w:rFonts w:ascii="宋体" w:hAnsi="宋体"/>
                      <w:b/>
                      <w:sz w:val="24"/>
                      <w:szCs w:val="24"/>
                    </w:rPr>
                  </w:pPr>
                </w:p>
              </w:tc>
              <w:tc>
                <w:tcPr>
                  <w:tcW w:w="325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教学行动方案1篇。</w:t>
                  </w:r>
                </w:p>
              </w:tc>
              <w:tc>
                <w:tcPr>
                  <w:tcW w:w="341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教学行动方案合计2篇。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269" w:type="dxa"/>
                  <w:vMerge w:val="continue"/>
                  <w:vAlign w:val="center"/>
                </w:tcPr>
                <w:p>
                  <w:pPr>
                    <w:spacing w:line="360" w:lineRule="exact"/>
                    <w:rPr>
                      <w:rFonts w:ascii="宋体" w:hAnsi="宋体"/>
                      <w:b/>
                      <w:sz w:val="24"/>
                      <w:szCs w:val="24"/>
                    </w:rPr>
                  </w:pPr>
                </w:p>
              </w:tc>
              <w:tc>
                <w:tcPr>
                  <w:tcW w:w="3254" w:type="dxa"/>
                </w:tcPr>
                <w:p>
                  <w:pPr>
                    <w:widowControl/>
                    <w:snapToGrid w:val="0"/>
                    <w:spacing w:line="300" w:lineRule="exact"/>
                    <w:jc w:val="left"/>
                    <w:rPr>
                      <w:rFonts w:ascii="仿宋_GB2312" w:hAnsi="仿宋_GB2312" w:eastAsia="仿宋_GB2312" w:cs="仿宋_GB2312"/>
                      <w:kern w:val="0"/>
                      <w:sz w:val="24"/>
                      <w:szCs w:val="24"/>
                    </w:rPr>
                  </w:pPr>
                </w:p>
              </w:tc>
              <w:tc>
                <w:tcPr>
                  <w:tcW w:w="341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学习手册（电子版）。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69" w:type="dxa"/>
                  <w:vMerge w:val="restart"/>
                  <w:vAlign w:val="center"/>
                </w:tcPr>
                <w:p>
                  <w:pPr>
                    <w:spacing w:line="360" w:lineRule="exact"/>
                    <w:rPr>
                      <w:rFonts w:ascii="宋体" w:hAnsi="宋体"/>
                      <w:b/>
                      <w:sz w:val="24"/>
                      <w:szCs w:val="24"/>
                    </w:rPr>
                  </w:pPr>
                  <w:r>
                    <w:rPr>
                      <w:rFonts w:hint="eastAsia" w:ascii="宋体" w:hAnsi="宋体"/>
                      <w:b/>
                      <w:sz w:val="24"/>
                      <w:szCs w:val="24"/>
                    </w:rPr>
                    <w:t>4.课程思政数字化资源建设</w:t>
                  </w:r>
                </w:p>
              </w:tc>
              <w:tc>
                <w:tcPr>
                  <w:tcW w:w="325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5个原创视频或动画。</w:t>
                  </w:r>
                </w:p>
              </w:tc>
              <w:tc>
                <w:tcPr>
                  <w:tcW w:w="341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合计20个原创视频或动画。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269" w:type="dxa"/>
                  <w:vMerge w:val="continue"/>
                  <w:vAlign w:val="center"/>
                </w:tcPr>
                <w:p>
                  <w:pPr>
                    <w:spacing w:line="360" w:lineRule="exact"/>
                    <w:rPr>
                      <w:rFonts w:ascii="宋体" w:hAnsi="宋体"/>
                      <w:b/>
                      <w:sz w:val="24"/>
                      <w:szCs w:val="24"/>
                    </w:rPr>
                  </w:pPr>
                </w:p>
              </w:tc>
              <w:tc>
                <w:tcPr>
                  <w:tcW w:w="325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视频库，包含10个视频或动画。</w:t>
                  </w:r>
                </w:p>
              </w:tc>
              <w:tc>
                <w:tcPr>
                  <w:tcW w:w="341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视频库，合计40个视频或动画。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69" w:type="dxa"/>
                  <w:vMerge w:val="continue"/>
                  <w:vAlign w:val="center"/>
                </w:tcPr>
                <w:p>
                  <w:pPr>
                    <w:spacing w:line="360" w:lineRule="exact"/>
                    <w:rPr>
                      <w:rFonts w:ascii="宋体" w:hAnsi="宋体"/>
                      <w:b/>
                      <w:sz w:val="24"/>
                      <w:szCs w:val="24"/>
                    </w:rPr>
                  </w:pPr>
                </w:p>
              </w:tc>
              <w:tc>
                <w:tcPr>
                  <w:tcW w:w="325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图文库，50个文件。</w:t>
                  </w:r>
                </w:p>
              </w:tc>
              <w:tc>
                <w:tcPr>
                  <w:tcW w:w="341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图文库，合计100个文件。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69" w:type="dxa"/>
                  <w:vMerge w:val="continue"/>
                  <w:vAlign w:val="center"/>
                </w:tcPr>
                <w:p>
                  <w:pPr>
                    <w:spacing w:line="360" w:lineRule="exact"/>
                    <w:rPr>
                      <w:rFonts w:ascii="宋体" w:hAnsi="宋体"/>
                      <w:b/>
                      <w:sz w:val="24"/>
                      <w:szCs w:val="24"/>
                    </w:rPr>
                  </w:pPr>
                </w:p>
              </w:tc>
              <w:tc>
                <w:tcPr>
                  <w:tcW w:w="3254" w:type="dxa"/>
                </w:tcPr>
                <w:p>
                  <w:pPr>
                    <w:widowControl/>
                    <w:snapToGrid w:val="0"/>
                    <w:spacing w:line="300" w:lineRule="exact"/>
                    <w:jc w:val="left"/>
                    <w:rPr>
                      <w:rFonts w:ascii="仿宋_GB2312" w:hAnsi="仿宋_GB2312" w:eastAsia="仿宋_GB2312" w:cs="仿宋_GB2312"/>
                      <w:kern w:val="0"/>
                      <w:sz w:val="24"/>
                      <w:szCs w:val="24"/>
                    </w:rPr>
                  </w:pPr>
                </w:p>
              </w:tc>
              <w:tc>
                <w:tcPr>
                  <w:tcW w:w="341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课程思政资源检索页面。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69" w:type="dxa"/>
                  <w:vMerge w:val="continue"/>
                  <w:vAlign w:val="center"/>
                </w:tcPr>
                <w:p>
                  <w:pPr>
                    <w:spacing w:line="360" w:lineRule="exact"/>
                    <w:rPr>
                      <w:rFonts w:ascii="宋体" w:hAnsi="宋体"/>
                      <w:b/>
                      <w:sz w:val="24"/>
                      <w:szCs w:val="24"/>
                    </w:rPr>
                  </w:pPr>
                </w:p>
              </w:tc>
              <w:tc>
                <w:tcPr>
                  <w:tcW w:w="3254" w:type="dxa"/>
                </w:tcPr>
                <w:p>
                  <w:pPr>
                    <w:widowControl/>
                    <w:snapToGrid w:val="0"/>
                    <w:spacing w:line="300" w:lineRule="exact"/>
                    <w:jc w:val="left"/>
                    <w:rPr>
                      <w:rFonts w:ascii="仿宋_GB2312" w:hAnsi="仿宋_GB2312" w:eastAsia="仿宋_GB2312" w:cs="仿宋_GB2312"/>
                      <w:kern w:val="0"/>
                      <w:sz w:val="24"/>
                      <w:szCs w:val="24"/>
                    </w:rPr>
                  </w:pPr>
                </w:p>
              </w:tc>
              <w:tc>
                <w:tcPr>
                  <w:tcW w:w="341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课程思政资源平台检索页面。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69" w:type="dxa"/>
                  <w:vMerge w:val="restart"/>
                  <w:vAlign w:val="center"/>
                </w:tcPr>
                <w:p>
                  <w:pPr>
                    <w:spacing w:line="360" w:lineRule="exact"/>
                    <w:rPr>
                      <w:rFonts w:ascii="宋体" w:hAnsi="宋体"/>
                      <w:b/>
                      <w:sz w:val="24"/>
                      <w:szCs w:val="24"/>
                    </w:rPr>
                  </w:pPr>
                  <w:r>
                    <w:rPr>
                      <w:rFonts w:hint="eastAsia" w:ascii="宋体" w:hAnsi="宋体"/>
                      <w:b/>
                      <w:sz w:val="24"/>
                      <w:szCs w:val="24"/>
                    </w:rPr>
                    <w:t>5.探索政校企实践育人项目</w:t>
                  </w:r>
                </w:p>
              </w:tc>
              <w:tc>
                <w:tcPr>
                  <w:tcW w:w="325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政校企机构调研报告。</w:t>
                  </w:r>
                </w:p>
              </w:tc>
              <w:tc>
                <w:tcPr>
                  <w:tcW w:w="3414" w:type="dxa"/>
                </w:tcPr>
                <w:p>
                  <w:pPr>
                    <w:widowControl/>
                    <w:snapToGrid w:val="0"/>
                    <w:spacing w:line="300" w:lineRule="exact"/>
                    <w:jc w:val="left"/>
                    <w:rPr>
                      <w:rFonts w:ascii="仿宋_GB2312" w:hAnsi="仿宋_GB2312" w:eastAsia="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269" w:type="dxa"/>
                  <w:vMerge w:val="continue"/>
                  <w:vAlign w:val="center"/>
                </w:tcPr>
                <w:p>
                  <w:pPr>
                    <w:spacing w:line="360" w:lineRule="exact"/>
                    <w:rPr>
                      <w:rFonts w:ascii="宋体" w:hAnsi="宋体"/>
                      <w:b/>
                      <w:sz w:val="24"/>
                      <w:szCs w:val="24"/>
                    </w:rPr>
                  </w:pPr>
                </w:p>
              </w:tc>
              <w:tc>
                <w:tcPr>
                  <w:tcW w:w="325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1个实践项目或实践工作站计划文件。</w:t>
                  </w:r>
                </w:p>
              </w:tc>
              <w:tc>
                <w:tcPr>
                  <w:tcW w:w="341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合计3个实践项目或实践工作站计划文件。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269" w:type="dxa"/>
                  <w:vMerge w:val="continue"/>
                  <w:vAlign w:val="center"/>
                </w:tcPr>
                <w:p>
                  <w:pPr>
                    <w:spacing w:line="360" w:lineRule="exact"/>
                    <w:rPr>
                      <w:rFonts w:ascii="宋体" w:hAnsi="宋体"/>
                      <w:b/>
                      <w:sz w:val="24"/>
                      <w:szCs w:val="24"/>
                    </w:rPr>
                  </w:pPr>
                </w:p>
              </w:tc>
              <w:tc>
                <w:tcPr>
                  <w:tcW w:w="3254" w:type="dxa"/>
                </w:tcPr>
                <w:p>
                  <w:pPr>
                    <w:widowControl/>
                    <w:snapToGrid w:val="0"/>
                    <w:spacing w:line="300" w:lineRule="exact"/>
                    <w:jc w:val="left"/>
                    <w:rPr>
                      <w:rFonts w:ascii="仿宋_GB2312" w:hAnsi="仿宋_GB2312" w:eastAsia="仿宋_GB2312" w:cs="仿宋_GB2312"/>
                      <w:kern w:val="0"/>
                      <w:sz w:val="24"/>
                      <w:szCs w:val="24"/>
                    </w:rPr>
                  </w:pPr>
                </w:p>
              </w:tc>
              <w:tc>
                <w:tcPr>
                  <w:tcW w:w="341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2个实践项目或实践工作站实施文件或相关报道。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69" w:type="dxa"/>
                  <w:vMerge w:val="restart"/>
                  <w:vAlign w:val="center"/>
                </w:tcPr>
                <w:p>
                  <w:pPr>
                    <w:spacing w:line="360" w:lineRule="exact"/>
                    <w:rPr>
                      <w:rFonts w:ascii="宋体" w:hAnsi="宋体"/>
                      <w:b/>
                      <w:sz w:val="24"/>
                      <w:szCs w:val="24"/>
                    </w:rPr>
                  </w:pPr>
                  <w:r>
                    <w:rPr>
                      <w:rFonts w:hint="eastAsia" w:ascii="宋体" w:hAnsi="宋体"/>
                      <w:b/>
                      <w:sz w:val="24"/>
                      <w:szCs w:val="24"/>
                    </w:rPr>
                    <w:t>6.强化团队建设与示范作用</w:t>
                  </w:r>
                </w:p>
              </w:tc>
              <w:tc>
                <w:tcPr>
                  <w:tcW w:w="325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活动记录或报道2篇。</w:t>
                  </w:r>
                </w:p>
              </w:tc>
              <w:tc>
                <w:tcPr>
                  <w:tcW w:w="341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活动记录或报道合计5篇。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69" w:type="dxa"/>
                  <w:vMerge w:val="continue"/>
                  <w:vAlign w:val="center"/>
                </w:tcPr>
                <w:p>
                  <w:pPr>
                    <w:spacing w:line="360" w:lineRule="exact"/>
                    <w:rPr>
                      <w:rFonts w:ascii="宋体" w:hAnsi="宋体"/>
                      <w:bCs/>
                      <w:sz w:val="24"/>
                      <w:szCs w:val="24"/>
                    </w:rPr>
                  </w:pPr>
                </w:p>
              </w:tc>
              <w:tc>
                <w:tcPr>
                  <w:tcW w:w="325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课程思政教学工作调研报告。</w:t>
                  </w:r>
                </w:p>
              </w:tc>
              <w:tc>
                <w:tcPr>
                  <w:tcW w:w="3414" w:type="dxa"/>
                </w:tcPr>
                <w:p>
                  <w:pPr>
                    <w:widowControl/>
                    <w:snapToGrid w:val="0"/>
                    <w:spacing w:line="300" w:lineRule="exact"/>
                    <w:jc w:val="left"/>
                    <w:rPr>
                      <w:rFonts w:ascii="仿宋_GB2312" w:hAnsi="仿宋_GB2312" w:eastAsia="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269" w:type="dxa"/>
                  <w:vMerge w:val="continue"/>
                  <w:vAlign w:val="center"/>
                </w:tcPr>
                <w:p>
                  <w:pPr>
                    <w:spacing w:line="360" w:lineRule="exact"/>
                    <w:rPr>
                      <w:rFonts w:ascii="宋体" w:hAnsi="宋体"/>
                      <w:bCs/>
                      <w:sz w:val="24"/>
                      <w:szCs w:val="24"/>
                    </w:rPr>
                  </w:pPr>
                </w:p>
              </w:tc>
              <w:tc>
                <w:tcPr>
                  <w:tcW w:w="3254" w:type="dxa"/>
                </w:tcPr>
                <w:p>
                  <w:pPr>
                    <w:widowControl/>
                    <w:snapToGrid w:val="0"/>
                    <w:spacing w:line="300" w:lineRule="exact"/>
                    <w:jc w:val="left"/>
                    <w:rPr>
                      <w:rFonts w:ascii="仿宋_GB2312" w:hAnsi="仿宋_GB2312" w:eastAsia="仿宋_GB2312" w:cs="仿宋_GB2312"/>
                      <w:kern w:val="0"/>
                      <w:sz w:val="24"/>
                      <w:szCs w:val="24"/>
                    </w:rPr>
                  </w:pPr>
                </w:p>
              </w:tc>
              <w:tc>
                <w:tcPr>
                  <w:tcW w:w="341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团队教师发表论文2篇。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269" w:type="dxa"/>
                  <w:vMerge w:val="continue"/>
                  <w:vAlign w:val="center"/>
                </w:tcPr>
                <w:p>
                  <w:pPr>
                    <w:spacing w:line="360" w:lineRule="exact"/>
                    <w:rPr>
                      <w:rFonts w:ascii="宋体" w:hAnsi="宋体"/>
                      <w:bCs/>
                      <w:sz w:val="24"/>
                      <w:szCs w:val="24"/>
                    </w:rPr>
                  </w:pPr>
                </w:p>
              </w:tc>
              <w:tc>
                <w:tcPr>
                  <w:tcW w:w="325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团队教师承担党建、教科研或教学建设项目2项。</w:t>
                  </w:r>
                </w:p>
              </w:tc>
              <w:tc>
                <w:tcPr>
                  <w:tcW w:w="341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团队教师承担党建、教科研或教学建设项目合计省级2项、校级2项。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69" w:type="dxa"/>
                  <w:vMerge w:val="continue"/>
                  <w:vAlign w:val="center"/>
                </w:tcPr>
                <w:p>
                  <w:pPr>
                    <w:spacing w:line="360" w:lineRule="exact"/>
                    <w:rPr>
                      <w:rFonts w:ascii="宋体" w:hAnsi="宋体"/>
                      <w:bCs/>
                      <w:sz w:val="24"/>
                      <w:szCs w:val="24"/>
                    </w:rPr>
                  </w:pPr>
                </w:p>
              </w:tc>
              <w:tc>
                <w:tcPr>
                  <w:tcW w:w="325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团队教师指导学生参赛获奖省级2项。</w:t>
                  </w:r>
                </w:p>
              </w:tc>
              <w:tc>
                <w:tcPr>
                  <w:tcW w:w="341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团队教师指导学生参赛获奖合计省级4项。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269" w:type="dxa"/>
                  <w:vMerge w:val="continue"/>
                  <w:vAlign w:val="center"/>
                </w:tcPr>
                <w:p>
                  <w:pPr>
                    <w:spacing w:line="360" w:lineRule="exact"/>
                    <w:rPr>
                      <w:rFonts w:ascii="宋体" w:hAnsi="宋体"/>
                      <w:bCs/>
                      <w:sz w:val="24"/>
                      <w:szCs w:val="24"/>
                    </w:rPr>
                  </w:pPr>
                </w:p>
              </w:tc>
              <w:tc>
                <w:tcPr>
                  <w:tcW w:w="3254" w:type="dxa"/>
                </w:tcPr>
                <w:p>
                  <w:pPr>
                    <w:widowControl/>
                    <w:snapToGrid w:val="0"/>
                    <w:spacing w:line="300" w:lineRule="exact"/>
                    <w:jc w:val="left"/>
                    <w:rPr>
                      <w:rFonts w:ascii="仿宋_GB2312" w:hAnsi="仿宋_GB2312" w:eastAsia="仿宋_GB2312" w:cs="仿宋_GB2312"/>
                      <w:kern w:val="0"/>
                      <w:sz w:val="24"/>
                      <w:szCs w:val="24"/>
                    </w:rPr>
                  </w:pPr>
                </w:p>
              </w:tc>
              <w:tc>
                <w:tcPr>
                  <w:tcW w:w="341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专业群教师应用本项目资源，或新增课程思政课程、团队、教学案例等项目。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69" w:type="dxa"/>
                  <w:vMerge w:val="continue"/>
                  <w:vAlign w:val="center"/>
                </w:tcPr>
                <w:p>
                  <w:pPr>
                    <w:spacing w:line="360" w:lineRule="exact"/>
                    <w:rPr>
                      <w:rFonts w:ascii="宋体" w:hAnsi="宋体"/>
                      <w:bCs/>
                      <w:sz w:val="24"/>
                      <w:szCs w:val="24"/>
                    </w:rPr>
                  </w:pPr>
                </w:p>
              </w:tc>
              <w:tc>
                <w:tcPr>
                  <w:tcW w:w="325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开放班级学员名单样品。</w:t>
                  </w:r>
                </w:p>
              </w:tc>
              <w:tc>
                <w:tcPr>
                  <w:tcW w:w="3414" w:type="dxa"/>
                </w:tcPr>
                <w:p>
                  <w:pPr>
                    <w:widowControl/>
                    <w:snapToGrid w:val="0"/>
                    <w:spacing w:line="30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开放班级学员名单样品。</w:t>
                  </w:r>
                </w:p>
              </w:tc>
            </w:tr>
          </w:tbl>
          <w:p>
            <w:pPr>
              <w:widowControl/>
              <w:numPr>
                <w:ilvl w:val="0"/>
                <w:numId w:val="9"/>
              </w:numPr>
              <w:snapToGrid w:val="0"/>
              <w:spacing w:before="156" w:beforeLines="50" w:after="156" w:afterLines="50" w:line="340" w:lineRule="exact"/>
              <w:ind w:left="839" w:hanging="357"/>
              <w:jc w:val="left"/>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需要进一步解决的问题困难、主要举措</w:t>
            </w:r>
          </w:p>
          <w:p>
            <w:pPr>
              <w:widowControl/>
              <w:snapToGrid w:val="0"/>
              <w:spacing w:before="156" w:beforeLines="50" w:after="156" w:afterLines="50" w:line="340" w:lineRule="exact"/>
              <w:jc w:val="center"/>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表3  问题困难与主要举措</w:t>
            </w:r>
          </w:p>
          <w:tbl>
            <w:tblPr>
              <w:tblStyle w:val="9"/>
              <w:tblW w:w="7938"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9"/>
              <w:gridCol w:w="5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pPr>
                    <w:widowControl/>
                    <w:snapToGrid w:val="0"/>
                    <w:spacing w:line="340" w:lineRule="exact"/>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问题困难</w:t>
                  </w:r>
                </w:p>
              </w:tc>
              <w:tc>
                <w:tcPr>
                  <w:tcW w:w="5189" w:type="dxa"/>
                </w:tcPr>
                <w:p>
                  <w:pPr>
                    <w:widowControl/>
                    <w:snapToGrid w:val="0"/>
                    <w:spacing w:line="340" w:lineRule="exact"/>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主要举措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2749" w:type="dxa"/>
                </w:tcPr>
                <w:p>
                  <w:pPr>
                    <w:widowControl/>
                    <w:snapToGrid w:val="0"/>
                    <w:spacing w:before="93" w:beforeLines="30" w:after="93" w:afterLines="30" w:line="34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（1）全体教师思政教育水平需要继续提升。</w:t>
                  </w:r>
                </w:p>
              </w:tc>
              <w:tc>
                <w:tcPr>
                  <w:tcW w:w="5189" w:type="dxa"/>
                </w:tcPr>
                <w:p>
                  <w:pPr>
                    <w:widowControl/>
                    <w:snapToGrid w:val="0"/>
                    <w:spacing w:before="62" w:beforeLines="20" w:after="62" w:afterLines="20"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继续加强课程思政培训，通过内外双培、外引专家、教研活动等途径，提高教师的思政水平，持续进行教学内容、方法、设计方面的课程思政改革。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pPr>
                    <w:widowControl/>
                    <w:snapToGrid w:val="0"/>
                    <w:spacing w:before="93" w:beforeLines="30" w:after="93" w:afterLines="30" w:line="34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（2）资源库平台不够强大。</w:t>
                  </w:r>
                </w:p>
              </w:tc>
              <w:tc>
                <w:tcPr>
                  <w:tcW w:w="5189" w:type="dxa"/>
                </w:tcPr>
                <w:p>
                  <w:pPr>
                    <w:widowControl/>
                    <w:snapToGrid w:val="0"/>
                    <w:spacing w:before="62" w:beforeLines="20" w:after="62" w:afterLines="20"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方案一，升级改造现有专业资源库平台，增加发布课程思政资源包的子系统。</w:t>
                  </w:r>
                </w:p>
                <w:p>
                  <w:pPr>
                    <w:widowControl/>
                    <w:snapToGrid w:val="0"/>
                    <w:spacing w:before="62" w:beforeLines="20" w:after="62" w:afterLines="20"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方案二，规划建设新的资源库平台。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749" w:type="dxa"/>
                </w:tcPr>
                <w:p>
                  <w:pPr>
                    <w:widowControl/>
                    <w:numPr>
                      <w:ilvl w:val="255"/>
                      <w:numId w:val="0"/>
                    </w:numPr>
                    <w:snapToGrid w:val="0"/>
                    <w:spacing w:before="93" w:beforeLines="30" w:after="93" w:afterLines="30" w:line="34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（3）课程思政资源需要进一步丰富。</w:t>
                  </w:r>
                </w:p>
                <w:p>
                  <w:pPr>
                    <w:widowControl/>
                    <w:snapToGrid w:val="0"/>
                    <w:spacing w:line="340" w:lineRule="exact"/>
                    <w:jc w:val="left"/>
                    <w:rPr>
                      <w:rFonts w:ascii="仿宋_GB2312" w:hAnsi="仿宋_GB2312" w:eastAsia="仿宋_GB2312" w:cs="仿宋_GB2312"/>
                      <w:kern w:val="0"/>
                      <w:sz w:val="24"/>
                      <w:szCs w:val="24"/>
                    </w:rPr>
                  </w:pPr>
                </w:p>
              </w:tc>
              <w:tc>
                <w:tcPr>
                  <w:tcW w:w="5189" w:type="dxa"/>
                </w:tcPr>
                <w:p>
                  <w:pPr>
                    <w:widowControl/>
                    <w:snapToGrid w:val="0"/>
                    <w:spacing w:before="62" w:beforeLines="20" w:after="62" w:afterLines="20"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各单元编制更多案例，采集更多知识片段和视频，适配不同教师、不同专业学生、不同教学情境的需求，支持自主选学。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2749" w:type="dxa"/>
                </w:tcPr>
                <w:p>
                  <w:pPr>
                    <w:widowControl/>
                    <w:snapToGrid w:val="0"/>
                    <w:spacing w:before="93" w:beforeLines="30" w:after="93" w:afterLines="30" w:line="340" w:lineRule="exact"/>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（4）课程思政建设模式、教学模式需要进一步提炼、推广。</w:t>
                  </w:r>
                </w:p>
              </w:tc>
              <w:tc>
                <w:tcPr>
                  <w:tcW w:w="5189" w:type="dxa"/>
                </w:tcPr>
                <w:p>
                  <w:pPr>
                    <w:widowControl/>
                    <w:snapToGrid w:val="0"/>
                    <w:spacing w:before="62" w:beforeLines="20" w:after="62" w:afterLines="20"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第一，参考PDCA循环，多阶段总结反思建设经验、教学经验。</w:t>
                  </w:r>
                </w:p>
                <w:p>
                  <w:pPr>
                    <w:widowControl/>
                    <w:snapToGrid w:val="0"/>
                    <w:spacing w:before="62" w:beforeLines="20" w:after="62" w:afterLines="20"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第二，继续为专业群甚至省内院校教师提供本项目资源，提供经验、理念、操作方案等方面借鉴。</w:t>
                  </w:r>
                </w:p>
              </w:tc>
            </w:tr>
          </w:tbl>
          <w:p>
            <w:pPr>
              <w:widowControl/>
              <w:snapToGrid w:val="0"/>
              <w:spacing w:before="156" w:beforeLines="50" w:after="156" w:afterLines="50" w:line="340" w:lineRule="exact"/>
              <w:ind w:firstLine="482"/>
              <w:jc w:val="left"/>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3.支持保障措施</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学院持续结合教育部、教育厅最新精神，制定和修订系列文件，发布了《广东工程职业技术学院课程思政示范计划项目管理办法》、《广东工程职业技术学院课程思政示范计划专项资金管理办法》、《广东工程职业技术学院精品课程建设管理办法》、《广东工程职业技术学院品牌专业与高水平专业建设项目管理办法》等制度。</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（1）学校</w:t>
            </w:r>
            <w:r>
              <w:rPr>
                <w:rFonts w:hint="eastAsia" w:ascii="仿宋_GB2312" w:hAnsi="仿宋_GB2312" w:eastAsia="仿宋_GB2312" w:cs="仿宋_GB2312"/>
                <w:b/>
                <w:bCs/>
                <w:kern w:val="0"/>
                <w:sz w:val="24"/>
                <w:szCs w:val="24"/>
              </w:rPr>
              <w:t>课程思政示范计划系列项目</w:t>
            </w:r>
            <w:r>
              <w:rPr>
                <w:rFonts w:hint="eastAsia" w:ascii="仿宋_GB2312" w:hAnsi="仿宋_GB2312" w:eastAsia="仿宋_GB2312" w:cs="仿宋_GB2312"/>
                <w:kern w:val="0"/>
                <w:sz w:val="24"/>
                <w:szCs w:val="24"/>
              </w:rPr>
              <w:t>安排资金10万元。</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（2）校级课程思政</w:t>
            </w:r>
            <w:r>
              <w:rPr>
                <w:rFonts w:hint="eastAsia" w:ascii="仿宋_GB2312" w:hAnsi="仿宋_GB2312" w:eastAsia="仿宋_GB2312" w:cs="仿宋_GB2312"/>
                <w:b/>
                <w:bCs/>
                <w:kern w:val="0"/>
                <w:sz w:val="24"/>
                <w:szCs w:val="24"/>
              </w:rPr>
              <w:t>示范团队</w:t>
            </w:r>
            <w:r>
              <w:rPr>
                <w:rFonts w:hint="eastAsia" w:ascii="仿宋_GB2312" w:hAnsi="仿宋_GB2312" w:eastAsia="仿宋_GB2312" w:cs="仿宋_GB2312"/>
                <w:kern w:val="0"/>
                <w:sz w:val="24"/>
                <w:szCs w:val="24"/>
              </w:rPr>
              <w:t>资助1万元、课程思政</w:t>
            </w:r>
            <w:r>
              <w:rPr>
                <w:rFonts w:hint="eastAsia" w:ascii="仿宋_GB2312" w:hAnsi="仿宋_GB2312" w:eastAsia="仿宋_GB2312" w:cs="仿宋_GB2312"/>
                <w:b/>
                <w:bCs/>
                <w:kern w:val="0"/>
                <w:sz w:val="24"/>
                <w:szCs w:val="24"/>
              </w:rPr>
              <w:t>示范课程</w:t>
            </w:r>
            <w:r>
              <w:rPr>
                <w:rFonts w:hint="eastAsia" w:ascii="仿宋_GB2312" w:hAnsi="仿宋_GB2312" w:eastAsia="仿宋_GB2312" w:cs="仿宋_GB2312"/>
                <w:kern w:val="0"/>
                <w:sz w:val="24"/>
                <w:szCs w:val="24"/>
              </w:rPr>
              <w:t>资助0.5万元。</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r>
              <w:rPr>
                <w:rFonts w:ascii="仿宋_GB2312" w:hAnsi="仿宋_GB2312" w:eastAsia="仿宋_GB2312" w:cs="仿宋_GB2312"/>
                <w:kern w:val="0"/>
                <w:sz w:val="24"/>
                <w:szCs w:val="24"/>
              </w:rPr>
              <w:t>3</w:t>
            </w:r>
            <w:r>
              <w:rPr>
                <w:rFonts w:hint="eastAsia" w:ascii="仿宋_GB2312" w:hAnsi="仿宋_GB2312" w:eastAsia="仿宋_GB2312" w:cs="仿宋_GB2312"/>
                <w:kern w:val="0"/>
                <w:sz w:val="24"/>
                <w:szCs w:val="24"/>
              </w:rPr>
              <w:t>）</w:t>
            </w:r>
            <w:r>
              <w:rPr>
                <w:rFonts w:hint="eastAsia" w:ascii="仿宋_GB2312" w:hAnsi="仿宋_GB2312" w:eastAsia="仿宋_GB2312" w:cs="仿宋_GB2312"/>
                <w:b/>
                <w:bCs/>
                <w:kern w:val="0"/>
                <w:sz w:val="24"/>
                <w:szCs w:val="24"/>
              </w:rPr>
              <w:t>双高校建设任务</w:t>
            </w:r>
            <w:r>
              <w:rPr>
                <w:rFonts w:hint="eastAsia" w:ascii="仿宋_GB2312" w:hAnsi="仿宋_GB2312" w:eastAsia="仿宋_GB2312" w:cs="仿宋_GB2312"/>
                <w:kern w:val="0"/>
                <w:sz w:val="24"/>
                <w:szCs w:val="24"/>
              </w:rPr>
              <w:t>的课程思政相关任务中安排资助资金。</w:t>
            </w:r>
          </w:p>
          <w:p>
            <w:pPr>
              <w:widowControl/>
              <w:snapToGrid w:val="0"/>
              <w:spacing w:line="340" w:lineRule="exact"/>
              <w:ind w:firstLine="480" w:firstLineChars="200"/>
              <w:jc w:val="left"/>
              <w:rPr>
                <w:rFonts w:eastAsia="仿宋_GB2312"/>
              </w:rPr>
            </w:pPr>
            <w:r>
              <w:rPr>
                <w:rFonts w:hint="eastAsia" w:ascii="仿宋_GB2312" w:hAnsi="仿宋_GB2312" w:eastAsia="仿宋_GB2312" w:cs="仿宋_GB2312"/>
                <w:kern w:val="0"/>
                <w:sz w:val="24"/>
                <w:szCs w:val="24"/>
              </w:rPr>
              <w:t>（4）学校保证教学建设与信息化建设的投入，为本项目提供了优质的实训实习基地环境、网络教学平台、移动教学平台、数字媒体制作设备、竞赛装备、网络办公软件等资源，有力支持教师教学、科研与学生创新创业。</w:t>
            </w:r>
          </w:p>
          <w:p>
            <w:pPr>
              <w:widowControl/>
              <w:snapToGrid w:val="0"/>
              <w:spacing w:line="340" w:lineRule="exact"/>
              <w:ind w:firstLine="480" w:firstLineChars="20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（5）学校在高水平专业群建设、品牌专业建设、教材编写与出版资助、企业顶岗实践、双师素质认定、青年教师培养、技能竞赛、网络课程平台、教师评优等方面也制定相关文件、激励措施并配套经费。</w:t>
            </w:r>
          </w:p>
        </w:tc>
      </w:tr>
    </w:tbl>
    <w:p>
      <w:pPr>
        <w:pStyle w:val="12"/>
        <w:adjustRightInd w:val="0"/>
        <w:snapToGrid w:val="0"/>
        <w:spacing w:before="312" w:beforeLines="100" w:line="340" w:lineRule="atLeast"/>
        <w:ind w:firstLine="0" w:firstLineChars="0"/>
        <w:rPr>
          <w:rFonts w:ascii="黑体" w:hAnsi="黑体" w:eastAsia="黑体" w:cs="黑体"/>
          <w:sz w:val="24"/>
          <w:szCs w:val="24"/>
        </w:rPr>
      </w:pPr>
      <w:r>
        <w:rPr>
          <w:rFonts w:hint="eastAsia" w:ascii="黑体" w:hAnsi="黑体" w:eastAsia="黑体" w:cs="黑体"/>
          <w:sz w:val="24"/>
          <w:szCs w:val="24"/>
        </w:rPr>
        <w:t>五、授课教师承诺</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2" w:hRule="atLeast"/>
        </w:trPr>
        <w:tc>
          <w:tcPr>
            <w:tcW w:w="8522" w:type="dxa"/>
          </w:tcPr>
          <w:p>
            <w:pPr>
              <w:adjustRightInd w:val="0"/>
              <w:snapToGrid w:val="0"/>
              <w:spacing w:before="156" w:beforeLines="50" w:after="156" w:afterLines="50" w:line="400" w:lineRule="atLeast"/>
              <w:ind w:firstLine="480" w:firstLineChars="200"/>
              <w:rPr>
                <w:rFonts w:ascii="仿宋_GB2312" w:hAnsi="仿宋" w:eastAsia="仿宋_GB2312"/>
                <w:kern w:val="0"/>
                <w:sz w:val="24"/>
                <w:szCs w:val="24"/>
              </w:rPr>
            </w:pPr>
            <w:r>
              <w:rPr>
                <w:rFonts w:hint="eastAsia" w:ascii="仿宋_GB2312" w:hAnsi="仿宋" w:eastAsia="仿宋_GB2312"/>
                <w:kern w:val="0"/>
                <w:sz w:val="24"/>
                <w:szCs w:val="24"/>
              </w:rPr>
              <w:t>本人对课程思政示范课程申报材料（含建设计划、申报书和相关佐证材料）的内容真实性和准确性负责。</w:t>
            </w:r>
          </w:p>
          <w:p>
            <w:pPr>
              <w:wordWrap w:val="0"/>
              <w:adjustRightInd w:val="0"/>
              <w:snapToGrid w:val="0"/>
              <w:spacing w:line="400" w:lineRule="atLeast"/>
              <w:ind w:right="2520" w:rightChars="1200" w:firstLine="480" w:firstLineChars="200"/>
              <w:jc w:val="right"/>
              <w:rPr>
                <w:rFonts w:ascii="仿宋_GB2312" w:hAnsi="仿宋" w:eastAsia="仿宋_GB2312"/>
                <w:kern w:val="0"/>
                <w:sz w:val="24"/>
                <w:szCs w:val="24"/>
              </w:rPr>
            </w:pPr>
            <w:r>
              <w:rPr>
                <w:rFonts w:hint="eastAsia" w:ascii="仿宋_GB2312" w:hAnsi="仿宋" w:eastAsia="仿宋_GB2312"/>
                <w:kern w:val="0"/>
                <w:sz w:val="24"/>
                <w:szCs w:val="24"/>
              </w:rPr>
              <w:t>授课教师（签字）：</w:t>
            </w:r>
          </w:p>
          <w:p>
            <w:pPr>
              <w:adjustRightInd w:val="0"/>
              <w:snapToGrid w:val="0"/>
              <w:spacing w:line="400" w:lineRule="atLeast"/>
              <w:ind w:right="630" w:rightChars="300" w:firstLine="480" w:firstLineChars="200"/>
              <w:jc w:val="right"/>
              <w:rPr>
                <w:rFonts w:ascii="仿宋_GB2312" w:hAnsi="仿宋" w:eastAsia="仿宋_GB2312"/>
                <w:kern w:val="0"/>
                <w:sz w:val="24"/>
                <w:szCs w:val="24"/>
              </w:rPr>
            </w:pPr>
            <w:r>
              <w:rPr>
                <w:rFonts w:hint="eastAsia" w:ascii="仿宋_GB2312" w:hAnsi="仿宋" w:eastAsia="仿宋_GB2312"/>
                <w:kern w:val="0"/>
                <w:sz w:val="24"/>
                <w:szCs w:val="24"/>
              </w:rPr>
              <w:t xml:space="preserve">  年   月   日</w:t>
            </w:r>
          </w:p>
        </w:tc>
      </w:tr>
    </w:tbl>
    <w:p>
      <w:pPr>
        <w:rPr>
          <w:rFonts w:hint="eastAsia"/>
        </w:rPr>
      </w:pPr>
    </w:p>
    <w:sectPr>
      <w:footerReference r:id="rId4"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简体">
    <w:altName w:val="Arial Unicode MS"/>
    <w:panose1 w:val="00000000000000000000"/>
    <w:charset w:val="86"/>
    <w:family w:val="script"/>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方正小标宋_GBK">
    <w:altName w:val="Arial Unicode MS"/>
    <w:panose1 w:val="00000000000000000000"/>
    <w:charset w:val="86"/>
    <w:family w:val="swiss"/>
    <w:pitch w:val="default"/>
    <w:sig w:usb0="00000000" w:usb1="00000000" w:usb2="0000000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16205" cy="139700"/>
              <wp:effectExtent l="0" t="0" r="635" b="0"/>
              <wp:wrapNone/>
              <wp:docPr id="1"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wps:spPr>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3" o:spid="_x0000_s1026" o:spt="202" type="#_x0000_t202" style="position:absolute;left:0pt;margin-top:0pt;height:11pt;width:9.15pt;mso-position-horizontal:center;mso-position-horizontal-relative:margin;mso-wrap-style:none;z-index:251674624;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i6WFNAAAAADAQAADwAAAAAAAAABACAAAAAiAAAAZHJzL2Rv&#10;d25yZXYueG1sUEsBAhQAFAAAAAgAh07iQE+80aYJAgAAAgQAAA4AAAAAAAAAAQAgAAAAHwEAAGRy&#10;cy9lMm9Eb2MueG1sUEsFBgAAAAAGAAYAWQEAAJoFAAAAAA==&#10;">
              <v:fill on="f" focussize="0,0"/>
              <v:stroke on="f"/>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mc:Fallback>
      </mc:AlternateContent>
    </w:r>
    <w:r>
      <w:rPr>
        <w:rFonts w:hint="eastAs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pStyle w:val="7"/>
      </w:pPr>
      <w:r>
        <w:rPr>
          <w:rStyle w:val="11"/>
        </w:rPr>
        <w:footnoteRef/>
      </w:r>
      <w:r>
        <w:t xml:space="preserve"> </w:t>
      </w:r>
      <w:r>
        <w:rPr>
          <w:rFonts w:hint="eastAsia"/>
          <w:b/>
          <w:bCs/>
          <w:color w:val="FF0000"/>
        </w:rPr>
        <w:t>授课教师应为该课程主讲教师，限1人。</w:t>
      </w:r>
    </w:p>
  </w:footnote>
  <w:footnote w:id="1">
    <w:p>
      <w:pPr>
        <w:pStyle w:val="7"/>
      </w:pPr>
      <w:r>
        <w:rPr>
          <w:rStyle w:val="11"/>
        </w:rPr>
        <w:footnoteRef/>
      </w:r>
      <w:r>
        <w:t xml:space="preserve"> </w:t>
      </w:r>
      <w:r>
        <w:rPr>
          <w:rFonts w:hint="eastAsia"/>
        </w:rPr>
        <w:t>课程如为公共基础课程，不用填写所属专业名称和代码。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497D1E"/>
    <w:multiLevelType w:val="singleLevel"/>
    <w:tmpl w:val="A4497D1E"/>
    <w:lvl w:ilvl="0" w:tentative="0">
      <w:start w:val="1"/>
      <w:numFmt w:val="decimal"/>
      <w:suff w:val="space"/>
      <w:lvlText w:val="（%1）"/>
      <w:lvlJc w:val="left"/>
    </w:lvl>
  </w:abstractNum>
  <w:abstractNum w:abstractNumId="1">
    <w:nsid w:val="A9CC0425"/>
    <w:multiLevelType w:val="singleLevel"/>
    <w:tmpl w:val="A9CC0425"/>
    <w:lvl w:ilvl="0" w:tentative="0">
      <w:start w:val="1"/>
      <w:numFmt w:val="decimal"/>
      <w:suff w:val="nothing"/>
      <w:lvlText w:val="（%1）"/>
      <w:lvlJc w:val="left"/>
    </w:lvl>
  </w:abstractNum>
  <w:abstractNum w:abstractNumId="2">
    <w:nsid w:val="F5FD2B61"/>
    <w:multiLevelType w:val="singleLevel"/>
    <w:tmpl w:val="F5FD2B61"/>
    <w:lvl w:ilvl="0" w:tentative="0">
      <w:start w:val="1"/>
      <w:numFmt w:val="decimal"/>
      <w:suff w:val="nothing"/>
      <w:lvlText w:val="（%1）"/>
      <w:lvlJc w:val="left"/>
    </w:lvl>
  </w:abstractNum>
  <w:abstractNum w:abstractNumId="3">
    <w:nsid w:val="1932C4E6"/>
    <w:multiLevelType w:val="singleLevel"/>
    <w:tmpl w:val="1932C4E6"/>
    <w:lvl w:ilvl="0" w:tentative="0">
      <w:start w:val="1"/>
      <w:numFmt w:val="decimal"/>
      <w:suff w:val="nothing"/>
      <w:lvlText w:val="（%1）"/>
      <w:lvlJc w:val="left"/>
    </w:lvl>
  </w:abstractNum>
  <w:abstractNum w:abstractNumId="4">
    <w:nsid w:val="19BB2158"/>
    <w:multiLevelType w:val="singleLevel"/>
    <w:tmpl w:val="19BB2158"/>
    <w:lvl w:ilvl="0" w:tentative="0">
      <w:start w:val="1"/>
      <w:numFmt w:val="decimal"/>
      <w:suff w:val="nothing"/>
      <w:lvlText w:val="（%1）"/>
      <w:lvlJc w:val="left"/>
    </w:lvl>
  </w:abstractNum>
  <w:abstractNum w:abstractNumId="5">
    <w:nsid w:val="349B444E"/>
    <w:multiLevelType w:val="singleLevel"/>
    <w:tmpl w:val="349B444E"/>
    <w:lvl w:ilvl="0" w:tentative="0">
      <w:start w:val="1"/>
      <w:numFmt w:val="decimal"/>
      <w:lvlText w:val="%1."/>
      <w:lvlJc w:val="left"/>
      <w:pPr>
        <w:tabs>
          <w:tab w:val="left" w:pos="312"/>
        </w:tabs>
      </w:pPr>
    </w:lvl>
  </w:abstractNum>
  <w:abstractNum w:abstractNumId="6">
    <w:nsid w:val="49D0BEE0"/>
    <w:multiLevelType w:val="singleLevel"/>
    <w:tmpl w:val="49D0BEE0"/>
    <w:lvl w:ilvl="0" w:tentative="0">
      <w:start w:val="3"/>
      <w:numFmt w:val="decimal"/>
      <w:suff w:val="nothing"/>
      <w:lvlText w:val="（%1）"/>
      <w:lvlJc w:val="left"/>
    </w:lvl>
  </w:abstractNum>
  <w:abstractNum w:abstractNumId="7">
    <w:nsid w:val="566A1FE7"/>
    <w:multiLevelType w:val="singleLevel"/>
    <w:tmpl w:val="566A1FE7"/>
    <w:lvl w:ilvl="0" w:tentative="0">
      <w:start w:val="1"/>
      <w:numFmt w:val="decimal"/>
      <w:suff w:val="space"/>
      <w:lvlText w:val="%1."/>
      <w:lvlJc w:val="left"/>
    </w:lvl>
  </w:abstractNum>
  <w:abstractNum w:abstractNumId="8">
    <w:nsid w:val="7B791DB8"/>
    <w:multiLevelType w:val="multilevel"/>
    <w:tmpl w:val="7B791DB8"/>
    <w:lvl w:ilvl="0" w:tentative="0">
      <w:start w:val="1"/>
      <w:numFmt w:val="decimal"/>
      <w:lvlText w:val="%1."/>
      <w:lvlJc w:val="left"/>
      <w:pPr>
        <w:ind w:left="842" w:hanging="36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5"/>
  </w:num>
  <w:num w:numId="2">
    <w:abstractNumId w:val="6"/>
  </w:num>
  <w:num w:numId="3">
    <w:abstractNumId w:val="0"/>
  </w:num>
  <w:num w:numId="4">
    <w:abstractNumId w:val="7"/>
  </w:num>
  <w:num w:numId="5">
    <w:abstractNumId w:val="4"/>
  </w:num>
  <w:num w:numId="6">
    <w:abstractNumId w:val="1"/>
  </w:num>
  <w:num w:numId="7">
    <w:abstractNumId w:val="3"/>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noPunctuationKerning w:val="1"/>
  <w:characterSpacingControl w:val="compressPunctuation"/>
  <w:footnotePr>
    <w:footnote w:id="4"/>
    <w:footnote w:id="5"/>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QwN2ZjZGQ0NTA5YjNiMjY4MDc4MDRkOGY1MDg2Y2MifQ=="/>
  </w:docVars>
  <w:rsids>
    <w:rsidRoot w:val="00014CF1"/>
    <w:rsid w:val="00005614"/>
    <w:rsid w:val="00014CF1"/>
    <w:rsid w:val="000E114E"/>
    <w:rsid w:val="000E2CAD"/>
    <w:rsid w:val="002D20BF"/>
    <w:rsid w:val="003A49CC"/>
    <w:rsid w:val="003D4124"/>
    <w:rsid w:val="00543FDA"/>
    <w:rsid w:val="00566ACA"/>
    <w:rsid w:val="00611F67"/>
    <w:rsid w:val="00704945"/>
    <w:rsid w:val="00775C51"/>
    <w:rsid w:val="008871A1"/>
    <w:rsid w:val="00901A4A"/>
    <w:rsid w:val="0094752D"/>
    <w:rsid w:val="009772F3"/>
    <w:rsid w:val="009C6C36"/>
    <w:rsid w:val="00A54E45"/>
    <w:rsid w:val="00A97C40"/>
    <w:rsid w:val="00AB4795"/>
    <w:rsid w:val="00D50B37"/>
    <w:rsid w:val="00DC68E2"/>
    <w:rsid w:val="00DE3995"/>
    <w:rsid w:val="00E1477F"/>
    <w:rsid w:val="00E81DE8"/>
    <w:rsid w:val="00EB0A79"/>
    <w:rsid w:val="0255732F"/>
    <w:rsid w:val="03396C0F"/>
    <w:rsid w:val="03A925A6"/>
    <w:rsid w:val="03CC4543"/>
    <w:rsid w:val="049D1030"/>
    <w:rsid w:val="05871122"/>
    <w:rsid w:val="06C45D87"/>
    <w:rsid w:val="06D26058"/>
    <w:rsid w:val="06E240A6"/>
    <w:rsid w:val="07552FEB"/>
    <w:rsid w:val="07DF44A4"/>
    <w:rsid w:val="08EA546E"/>
    <w:rsid w:val="0A4A4ACA"/>
    <w:rsid w:val="0A522CBA"/>
    <w:rsid w:val="0AE87257"/>
    <w:rsid w:val="0B201FAE"/>
    <w:rsid w:val="0C77521C"/>
    <w:rsid w:val="0CC56C41"/>
    <w:rsid w:val="0D9A6702"/>
    <w:rsid w:val="0E4B097D"/>
    <w:rsid w:val="0E5D18AC"/>
    <w:rsid w:val="0EA53F75"/>
    <w:rsid w:val="0EDA4046"/>
    <w:rsid w:val="11203781"/>
    <w:rsid w:val="11721A8E"/>
    <w:rsid w:val="11800D4D"/>
    <w:rsid w:val="128634AC"/>
    <w:rsid w:val="12AF28AC"/>
    <w:rsid w:val="136C3189"/>
    <w:rsid w:val="14765F2F"/>
    <w:rsid w:val="14D85485"/>
    <w:rsid w:val="14F939CD"/>
    <w:rsid w:val="154B32EE"/>
    <w:rsid w:val="17496024"/>
    <w:rsid w:val="178D4C37"/>
    <w:rsid w:val="17A87543"/>
    <w:rsid w:val="17C8359E"/>
    <w:rsid w:val="186421F8"/>
    <w:rsid w:val="18A63B9B"/>
    <w:rsid w:val="199B0BD2"/>
    <w:rsid w:val="19E64B01"/>
    <w:rsid w:val="1A77404F"/>
    <w:rsid w:val="1B217AF9"/>
    <w:rsid w:val="1B426AC2"/>
    <w:rsid w:val="1B4C3F73"/>
    <w:rsid w:val="1B4F74AF"/>
    <w:rsid w:val="1BDE28D7"/>
    <w:rsid w:val="1D6E668F"/>
    <w:rsid w:val="1EF52E72"/>
    <w:rsid w:val="1F2157C5"/>
    <w:rsid w:val="1F291DA2"/>
    <w:rsid w:val="1F425E07"/>
    <w:rsid w:val="1FD6245B"/>
    <w:rsid w:val="204925FA"/>
    <w:rsid w:val="210D4F84"/>
    <w:rsid w:val="21154788"/>
    <w:rsid w:val="2140755E"/>
    <w:rsid w:val="217F1B7C"/>
    <w:rsid w:val="23602FFB"/>
    <w:rsid w:val="23812933"/>
    <w:rsid w:val="23CE293B"/>
    <w:rsid w:val="24AD491C"/>
    <w:rsid w:val="256577B8"/>
    <w:rsid w:val="2635260E"/>
    <w:rsid w:val="271F3CF6"/>
    <w:rsid w:val="27CD1662"/>
    <w:rsid w:val="28C8120C"/>
    <w:rsid w:val="296674F7"/>
    <w:rsid w:val="2ADF0035"/>
    <w:rsid w:val="2B18445C"/>
    <w:rsid w:val="2C6D01FE"/>
    <w:rsid w:val="2CF611E3"/>
    <w:rsid w:val="2D1201B9"/>
    <w:rsid w:val="2D4D7574"/>
    <w:rsid w:val="2F84112C"/>
    <w:rsid w:val="2F901021"/>
    <w:rsid w:val="2FC27833"/>
    <w:rsid w:val="30813E85"/>
    <w:rsid w:val="30A5774D"/>
    <w:rsid w:val="31470648"/>
    <w:rsid w:val="31945097"/>
    <w:rsid w:val="31FB09CB"/>
    <w:rsid w:val="323B46C5"/>
    <w:rsid w:val="32604DF6"/>
    <w:rsid w:val="32774731"/>
    <w:rsid w:val="32B12816"/>
    <w:rsid w:val="32BE3FF9"/>
    <w:rsid w:val="33DC1CAA"/>
    <w:rsid w:val="343D6E88"/>
    <w:rsid w:val="35563870"/>
    <w:rsid w:val="357E2922"/>
    <w:rsid w:val="3588776B"/>
    <w:rsid w:val="35BC03E5"/>
    <w:rsid w:val="36935805"/>
    <w:rsid w:val="38551DB9"/>
    <w:rsid w:val="39E11AE8"/>
    <w:rsid w:val="3ACE4BE3"/>
    <w:rsid w:val="3BBB4437"/>
    <w:rsid w:val="3D4B1985"/>
    <w:rsid w:val="3E336754"/>
    <w:rsid w:val="3EFFF2B4"/>
    <w:rsid w:val="3F024406"/>
    <w:rsid w:val="3F5F3140"/>
    <w:rsid w:val="3F7336BE"/>
    <w:rsid w:val="406B2699"/>
    <w:rsid w:val="427551E1"/>
    <w:rsid w:val="429679EE"/>
    <w:rsid w:val="441A0151"/>
    <w:rsid w:val="44AC6C26"/>
    <w:rsid w:val="455F3902"/>
    <w:rsid w:val="46252F80"/>
    <w:rsid w:val="46B87D3B"/>
    <w:rsid w:val="46FF6AEB"/>
    <w:rsid w:val="490108A9"/>
    <w:rsid w:val="49437668"/>
    <w:rsid w:val="4A246CFB"/>
    <w:rsid w:val="4A2E2E7E"/>
    <w:rsid w:val="4BB335E1"/>
    <w:rsid w:val="4CCC0063"/>
    <w:rsid w:val="4EFFCE69"/>
    <w:rsid w:val="50851B8D"/>
    <w:rsid w:val="511854B5"/>
    <w:rsid w:val="523F937E"/>
    <w:rsid w:val="5294304C"/>
    <w:rsid w:val="545C70D0"/>
    <w:rsid w:val="54774D41"/>
    <w:rsid w:val="54EA267A"/>
    <w:rsid w:val="54F6365E"/>
    <w:rsid w:val="56F3641D"/>
    <w:rsid w:val="57046C2F"/>
    <w:rsid w:val="5983142C"/>
    <w:rsid w:val="5A6C7EED"/>
    <w:rsid w:val="5AC1385B"/>
    <w:rsid w:val="5AC71914"/>
    <w:rsid w:val="5AC82EB1"/>
    <w:rsid w:val="5BFE1CBD"/>
    <w:rsid w:val="5C0E30EF"/>
    <w:rsid w:val="5CB2026C"/>
    <w:rsid w:val="5CB93299"/>
    <w:rsid w:val="5D667595"/>
    <w:rsid w:val="5DD950D5"/>
    <w:rsid w:val="5DF51ECE"/>
    <w:rsid w:val="5E6C3CA7"/>
    <w:rsid w:val="5E9F319D"/>
    <w:rsid w:val="5F0020E3"/>
    <w:rsid w:val="5FA1738F"/>
    <w:rsid w:val="60065292"/>
    <w:rsid w:val="601654D5"/>
    <w:rsid w:val="603E5835"/>
    <w:rsid w:val="604D2B4E"/>
    <w:rsid w:val="604F7FFB"/>
    <w:rsid w:val="63977DDE"/>
    <w:rsid w:val="63D60F76"/>
    <w:rsid w:val="63EF5734"/>
    <w:rsid w:val="65CD65A2"/>
    <w:rsid w:val="673F7CD0"/>
    <w:rsid w:val="675B01BB"/>
    <w:rsid w:val="678D715B"/>
    <w:rsid w:val="67F0267E"/>
    <w:rsid w:val="68D57EAA"/>
    <w:rsid w:val="6C187467"/>
    <w:rsid w:val="6CD01442"/>
    <w:rsid w:val="6CF96B42"/>
    <w:rsid w:val="6DF91B5D"/>
    <w:rsid w:val="6EBC6980"/>
    <w:rsid w:val="6F381DBA"/>
    <w:rsid w:val="6F4066E1"/>
    <w:rsid w:val="6F5E3ED9"/>
    <w:rsid w:val="6F95419D"/>
    <w:rsid w:val="6FC46F00"/>
    <w:rsid w:val="70561743"/>
    <w:rsid w:val="70E10FA3"/>
    <w:rsid w:val="71934321"/>
    <w:rsid w:val="71DE0ECB"/>
    <w:rsid w:val="72653BFB"/>
    <w:rsid w:val="72DFAEBC"/>
    <w:rsid w:val="72E74AAF"/>
    <w:rsid w:val="744557D3"/>
    <w:rsid w:val="7485138F"/>
    <w:rsid w:val="750D6BE4"/>
    <w:rsid w:val="750F3E84"/>
    <w:rsid w:val="752A3493"/>
    <w:rsid w:val="753359F1"/>
    <w:rsid w:val="766B0A04"/>
    <w:rsid w:val="77002E4D"/>
    <w:rsid w:val="793E4DEB"/>
    <w:rsid w:val="79940E46"/>
    <w:rsid w:val="79CC4F54"/>
    <w:rsid w:val="7A252A5C"/>
    <w:rsid w:val="7A3E1441"/>
    <w:rsid w:val="7B0B3B2A"/>
    <w:rsid w:val="7C8A38BC"/>
    <w:rsid w:val="7D110A41"/>
    <w:rsid w:val="7DAB198F"/>
    <w:rsid w:val="7DC27AEC"/>
    <w:rsid w:val="7EEC3298"/>
    <w:rsid w:val="7F6E4B26"/>
    <w:rsid w:val="7FFF8C2B"/>
    <w:rsid w:val="DBE5D5E7"/>
    <w:rsid w:val="F5F6878E"/>
    <w:rsid w:val="FA6B8E7E"/>
    <w:rsid w:val="FDE78B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unhideWhenUsed/>
    <w:qFormat/>
    <w:uiPriority w:val="99"/>
    <w:pPr>
      <w:spacing w:after="120"/>
    </w:pPr>
  </w:style>
  <w:style w:type="paragraph" w:styleId="4">
    <w:name w:val="caption"/>
    <w:basedOn w:val="1"/>
    <w:next w:val="1"/>
    <w:qFormat/>
    <w:uiPriority w:val="35"/>
    <w:rPr>
      <w:rFonts w:ascii="Arial" w:hAnsi="Arial" w:eastAsia="黑体"/>
      <w:sz w:val="20"/>
    </w:rPr>
  </w:style>
  <w:style w:type="paragraph" w:styleId="5">
    <w:name w:val="footer"/>
    <w:basedOn w:val="1"/>
    <w:unhideWhenUsed/>
    <w:qFormat/>
    <w:uiPriority w:val="99"/>
    <w:pPr>
      <w:tabs>
        <w:tab w:val="center" w:pos="4153"/>
        <w:tab w:val="right" w:pos="8306"/>
      </w:tabs>
      <w:snapToGrid w:val="0"/>
      <w:jc w:val="left"/>
    </w:pPr>
    <w:rPr>
      <w:sz w:val="18"/>
    </w:rPr>
  </w:style>
  <w:style w:type="paragraph" w:styleId="6">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footnote text"/>
    <w:basedOn w:val="1"/>
    <w:unhideWhenUsed/>
    <w:qFormat/>
    <w:uiPriority w:val="99"/>
    <w:pPr>
      <w:snapToGrid w:val="0"/>
      <w:jc w:val="left"/>
    </w:pPr>
    <w:rPr>
      <w:sz w:val="18"/>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footnote reference"/>
    <w:basedOn w:val="10"/>
    <w:unhideWhenUsed/>
    <w:qFormat/>
    <w:uiPriority w:val="99"/>
    <w:rPr>
      <w:vertAlign w:val="superscript"/>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20</Pages>
  <Words>10697</Words>
  <Characters>11085</Characters>
  <Lines>8</Lines>
  <Paragraphs>23</Paragraphs>
  <TotalTime>15</TotalTime>
  <ScaleCrop>false</ScaleCrop>
  <LinksUpToDate>false</LinksUpToDate>
  <CharactersWithSpaces>11201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2023-04-26T03:30:00Z</dcterms:created>
  <dc:creator>banbi</dc:creator>
  <cp:lastModifiedBy>NTKO</cp:lastModifiedBy>
  <cp:lastPrinted>2021-03-09T09:43:00Z</cp:lastPrinted>
  <dcterms:modified xsi:type="dcterms:W3CDTF">2023-05-05T14:44:59Z</dcterms:modified>
  <dc:title>附8-1</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慧眼令牌">
    <vt:lpwstr>eyJraWQiOiJvYSIsInR5cCI6IkpXVCIsImFsZyI6IkhTMjU2In0.eyJzdWIiOiJPQS1MT0dJTiIsIm5iZiI6MTY3NjYyMjMzNCwiY29ycElkIjoiIiwibWFpbkFjY291bnQiOiIiLCJpc3MiOiJFWE9BIiwibmFtZSI6IuW8oOWdmumbhCIsImV4cCI6MTk5MTk4NTkzNCwiaWF0IjoxNjc2NjI1MzM0LCJ1c2VySWQiOjI1MCwianRpIjoib2E</vt:lpwstr>
  </property>
  <property fmtid="{D5CDD505-2E9C-101B-9397-08002B2CF9AE}" pid="4" name="ICV">
    <vt:lpwstr>B32D9759F5FE48759DD7C78B23C5C1DA</vt:lpwstr>
  </property>
</Properties>
</file>